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5FF30C" w14:textId="77777777" w:rsidR="00152C8A" w:rsidRDefault="00152C8A" w:rsidP="00ED4D7B">
      <w:pPr>
        <w:pStyle w:val="Title"/>
        <w:jc w:val="center"/>
        <w:rPr>
          <w:sz w:val="36"/>
        </w:rPr>
      </w:pPr>
      <w:r w:rsidRPr="00ED4D7B">
        <w:rPr>
          <w:sz w:val="36"/>
        </w:rPr>
        <w:t>Supplementary Material</w:t>
      </w:r>
    </w:p>
    <w:p w14:paraId="137446C2" w14:textId="77777777" w:rsidR="00ED4D7B" w:rsidRDefault="00ED4D7B" w:rsidP="00ED4D7B"/>
    <w:p w14:paraId="3ED81CF0" w14:textId="77777777" w:rsidR="00924D71" w:rsidRPr="00C55B63" w:rsidRDefault="00924D71" w:rsidP="00924D71">
      <w:pPr>
        <w:pStyle w:val="BodyTextFirstIndent"/>
        <w:ind w:firstLine="0"/>
        <w:rPr>
          <w:rFonts w:cs="Times New Roman"/>
          <w:b/>
          <w:sz w:val="28"/>
          <w:szCs w:val="24"/>
        </w:rPr>
      </w:pPr>
      <w:r>
        <w:rPr>
          <w:rFonts w:cs="Times New Roman"/>
          <w:b/>
          <w:sz w:val="28"/>
          <w:szCs w:val="24"/>
        </w:rPr>
        <w:t xml:space="preserve">Inferring Enterovirus D68 </w:t>
      </w:r>
      <w:r w:rsidRPr="00C55B63">
        <w:rPr>
          <w:rFonts w:cs="Times New Roman"/>
          <w:b/>
          <w:sz w:val="28"/>
          <w:szCs w:val="24"/>
        </w:rPr>
        <w:t xml:space="preserve">Transmission </w:t>
      </w:r>
      <w:r>
        <w:rPr>
          <w:rFonts w:cs="Times New Roman"/>
          <w:b/>
          <w:sz w:val="28"/>
          <w:szCs w:val="24"/>
        </w:rPr>
        <w:t>D</w:t>
      </w:r>
      <w:r w:rsidRPr="00C55B63">
        <w:rPr>
          <w:rFonts w:cs="Times New Roman"/>
          <w:b/>
          <w:sz w:val="28"/>
          <w:szCs w:val="24"/>
        </w:rPr>
        <w:t xml:space="preserve">ynamics from </w:t>
      </w:r>
      <w:r>
        <w:rPr>
          <w:rFonts w:cs="Times New Roman"/>
          <w:b/>
          <w:sz w:val="28"/>
          <w:szCs w:val="24"/>
        </w:rPr>
        <w:t>the G</w:t>
      </w:r>
      <w:r w:rsidRPr="00C55B63">
        <w:rPr>
          <w:rFonts w:cs="Times New Roman"/>
          <w:b/>
          <w:sz w:val="28"/>
          <w:szCs w:val="24"/>
        </w:rPr>
        <w:t xml:space="preserve">enomic </w:t>
      </w:r>
      <w:r>
        <w:rPr>
          <w:rFonts w:cs="Times New Roman"/>
          <w:b/>
          <w:sz w:val="28"/>
          <w:szCs w:val="24"/>
        </w:rPr>
        <w:t>D</w:t>
      </w:r>
      <w:r w:rsidRPr="00C55B63">
        <w:rPr>
          <w:rFonts w:cs="Times New Roman"/>
          <w:b/>
          <w:sz w:val="28"/>
          <w:szCs w:val="24"/>
        </w:rPr>
        <w:t xml:space="preserve">ata </w:t>
      </w:r>
      <w:r>
        <w:rPr>
          <w:rFonts w:cs="Times New Roman"/>
          <w:b/>
          <w:sz w:val="28"/>
          <w:szCs w:val="24"/>
        </w:rPr>
        <w:t xml:space="preserve">of Two </w:t>
      </w:r>
      <w:r w:rsidRPr="00C55B63">
        <w:rPr>
          <w:rFonts w:cs="Times New Roman"/>
          <w:b/>
          <w:sz w:val="28"/>
          <w:szCs w:val="24"/>
        </w:rPr>
        <w:t>2022 North American outbreaks</w:t>
      </w:r>
    </w:p>
    <w:p w14:paraId="03DB06EC" w14:textId="77777777" w:rsidR="00924D71" w:rsidRPr="00D84C11" w:rsidRDefault="00924D71" w:rsidP="00924D71">
      <w:pPr>
        <w:rPr>
          <w:rFonts w:cs="Times New Roman"/>
          <w:szCs w:val="24"/>
        </w:rPr>
      </w:pPr>
      <w:r w:rsidRPr="00D84C11">
        <w:rPr>
          <w:rFonts w:cs="Times New Roman"/>
          <w:szCs w:val="24"/>
        </w:rPr>
        <w:t>Martin Grunnill</w:t>
      </w:r>
      <w:r w:rsidRPr="00D84C11">
        <w:rPr>
          <w:rFonts w:cs="Times New Roman"/>
          <w:szCs w:val="24"/>
          <w:vertAlign w:val="superscript"/>
        </w:rPr>
        <w:t>1,2</w:t>
      </w:r>
      <w:r w:rsidRPr="00D84C11">
        <w:rPr>
          <w:rFonts w:cs="Times New Roman"/>
          <w:szCs w:val="24"/>
        </w:rPr>
        <w:t>, Alireza Eshaghi</w:t>
      </w:r>
      <w:r w:rsidRPr="00D84C11">
        <w:rPr>
          <w:rFonts w:cs="Times New Roman"/>
          <w:szCs w:val="24"/>
          <w:vertAlign w:val="superscript"/>
        </w:rPr>
        <w:t>1</w:t>
      </w:r>
      <w:r w:rsidRPr="00D84C11">
        <w:rPr>
          <w:rFonts w:cs="Times New Roman"/>
          <w:szCs w:val="24"/>
        </w:rPr>
        <w:t>, Lambodhar Damodaran</w:t>
      </w:r>
      <w:r w:rsidRPr="00D84C11">
        <w:rPr>
          <w:rFonts w:cs="Times New Roman"/>
          <w:szCs w:val="24"/>
          <w:vertAlign w:val="superscript"/>
        </w:rPr>
        <w:t>3</w:t>
      </w:r>
      <w:r w:rsidRPr="00D84C11">
        <w:rPr>
          <w:rFonts w:cs="Times New Roman"/>
          <w:szCs w:val="24"/>
        </w:rPr>
        <w:t>, Sandeep Nagra</w:t>
      </w:r>
      <w:r w:rsidRPr="00D84C11">
        <w:rPr>
          <w:rFonts w:cs="Times New Roman"/>
          <w:szCs w:val="24"/>
          <w:vertAlign w:val="superscript"/>
        </w:rPr>
        <w:t>1</w:t>
      </w:r>
      <w:r w:rsidRPr="00D84C11">
        <w:rPr>
          <w:rFonts w:cs="Times New Roman"/>
          <w:szCs w:val="24"/>
        </w:rPr>
        <w:t>, Ali Gharouni</w:t>
      </w:r>
      <w:r w:rsidRPr="00D84C11">
        <w:rPr>
          <w:rFonts w:cs="Times New Roman"/>
          <w:szCs w:val="24"/>
          <w:vertAlign w:val="superscript"/>
        </w:rPr>
        <w:t>1</w:t>
      </w:r>
      <w:r w:rsidRPr="00D84C11">
        <w:rPr>
          <w:rFonts w:cs="Times New Roman"/>
          <w:szCs w:val="24"/>
        </w:rPr>
        <w:t>,</w:t>
      </w:r>
      <w:r w:rsidRPr="00D84C11">
        <w:rPr>
          <w:rFonts w:cs="Times New Roman"/>
          <w:szCs w:val="24"/>
          <w:vertAlign w:val="superscript"/>
        </w:rPr>
        <w:t xml:space="preserve"> </w:t>
      </w:r>
      <w:r w:rsidRPr="00D84C11">
        <w:rPr>
          <w:rFonts w:cs="Times New Roman"/>
        </w:rPr>
        <w:t>Thomas Braukmann</w:t>
      </w:r>
      <w:r w:rsidRPr="00D84C11">
        <w:rPr>
          <w:rFonts w:cs="Times New Roman"/>
          <w:vertAlign w:val="superscript"/>
        </w:rPr>
        <w:t>1,4</w:t>
      </w:r>
      <w:r w:rsidRPr="00D84C11">
        <w:rPr>
          <w:rFonts w:cs="Times New Roman"/>
        </w:rPr>
        <w:t xml:space="preserve">, </w:t>
      </w:r>
      <w:r w:rsidRPr="00D84C11">
        <w:rPr>
          <w:rFonts w:cs="Times New Roman"/>
          <w:szCs w:val="24"/>
        </w:rPr>
        <w:t>Shawn Clark</w:t>
      </w:r>
      <w:r w:rsidRPr="00D84C11">
        <w:rPr>
          <w:rFonts w:cs="Times New Roman"/>
          <w:szCs w:val="24"/>
          <w:vertAlign w:val="superscript"/>
        </w:rPr>
        <w:t>1</w:t>
      </w:r>
      <w:r w:rsidRPr="00D84C11">
        <w:rPr>
          <w:rFonts w:cs="Times New Roman"/>
          <w:szCs w:val="24"/>
        </w:rPr>
        <w:t>, Adriana Peci</w:t>
      </w:r>
      <w:r w:rsidRPr="00D84C11">
        <w:rPr>
          <w:rFonts w:cs="Times New Roman"/>
          <w:szCs w:val="24"/>
          <w:vertAlign w:val="superscript"/>
        </w:rPr>
        <w:t>1</w:t>
      </w:r>
      <w:r w:rsidRPr="00D84C11">
        <w:rPr>
          <w:rFonts w:cs="Times New Roman"/>
          <w:szCs w:val="24"/>
        </w:rPr>
        <w:t>, Sandra Isabel</w:t>
      </w:r>
      <w:r w:rsidRPr="00D84C11">
        <w:rPr>
          <w:rFonts w:cs="Times New Roman"/>
          <w:szCs w:val="24"/>
          <w:vertAlign w:val="superscript"/>
        </w:rPr>
        <w:t>1</w:t>
      </w:r>
      <w:r w:rsidRPr="00D84C11">
        <w:rPr>
          <w:rFonts w:cs="Times New Roman"/>
          <w:szCs w:val="24"/>
        </w:rPr>
        <w:t>, Philip Banh</w:t>
      </w:r>
      <w:r w:rsidRPr="00D84C11">
        <w:rPr>
          <w:rFonts w:cs="Times New Roman"/>
          <w:szCs w:val="24"/>
          <w:vertAlign w:val="superscript"/>
        </w:rPr>
        <w:t>1</w:t>
      </w:r>
      <w:r w:rsidRPr="00D84C11">
        <w:rPr>
          <w:rFonts w:cs="Times New Roman"/>
          <w:szCs w:val="24"/>
        </w:rPr>
        <w:t>, Louis du Plessis</w:t>
      </w:r>
      <w:r w:rsidRPr="00D84C11">
        <w:rPr>
          <w:rFonts w:cs="Times New Roman"/>
          <w:szCs w:val="24"/>
          <w:vertAlign w:val="superscript"/>
        </w:rPr>
        <w:t>5</w:t>
      </w:r>
      <w:r>
        <w:rPr>
          <w:rFonts w:cs="Times New Roman"/>
          <w:szCs w:val="24"/>
          <w:vertAlign w:val="superscript"/>
        </w:rPr>
        <w:t>,6</w:t>
      </w:r>
      <w:r w:rsidRPr="00D84C11">
        <w:rPr>
          <w:rFonts w:cs="Times New Roman"/>
          <w:szCs w:val="24"/>
        </w:rPr>
        <w:t>,</w:t>
      </w:r>
      <w:r w:rsidRPr="00D84C11">
        <w:rPr>
          <w:rFonts w:cs="Times New Roman"/>
          <w:szCs w:val="24"/>
          <w:vertAlign w:val="superscript"/>
        </w:rPr>
        <w:t xml:space="preserve"> </w:t>
      </w:r>
      <w:r w:rsidRPr="00D84C11">
        <w:rPr>
          <w:rFonts w:cs="Times New Roman"/>
          <w:szCs w:val="24"/>
        </w:rPr>
        <w:t>Carmen Lia Murall</w:t>
      </w:r>
      <w:r>
        <w:rPr>
          <w:rFonts w:cs="Times New Roman"/>
          <w:szCs w:val="24"/>
          <w:vertAlign w:val="superscript"/>
        </w:rPr>
        <w:t>7</w:t>
      </w:r>
      <w:r w:rsidRPr="00D84C11">
        <w:rPr>
          <w:rFonts w:cs="Times New Roman"/>
          <w:szCs w:val="24"/>
        </w:rPr>
        <w:t>, Caroline Colijn</w:t>
      </w:r>
      <w:r>
        <w:rPr>
          <w:rFonts w:cs="Times New Roman"/>
          <w:szCs w:val="24"/>
          <w:vertAlign w:val="superscript"/>
        </w:rPr>
        <w:t>8</w:t>
      </w:r>
      <w:r w:rsidRPr="00D84C11">
        <w:rPr>
          <w:rFonts w:cs="Times New Roman"/>
          <w:szCs w:val="24"/>
        </w:rPr>
        <w:t xml:space="preserve">, </w:t>
      </w:r>
      <w:r w:rsidRPr="00DA3586">
        <w:rPr>
          <w:rFonts w:cs="Times New Roman"/>
        </w:rPr>
        <w:t>Samira Mubareka</w:t>
      </w:r>
      <w:r w:rsidRPr="00DA3586">
        <w:rPr>
          <w:rFonts w:cs="Times New Roman"/>
          <w:vertAlign w:val="superscript"/>
        </w:rPr>
        <w:t>4,</w:t>
      </w:r>
      <w:r>
        <w:rPr>
          <w:rFonts w:cs="Times New Roman"/>
          <w:vertAlign w:val="superscript"/>
        </w:rPr>
        <w:t>9</w:t>
      </w:r>
      <w:r w:rsidRPr="00DA3586">
        <w:rPr>
          <w:rFonts w:cs="Times New Roman"/>
        </w:rPr>
        <w:t>,</w:t>
      </w:r>
      <w:r>
        <w:rPr>
          <w:rFonts w:cs="Times New Roman"/>
          <w:szCs w:val="24"/>
        </w:rPr>
        <w:t xml:space="preserve"> </w:t>
      </w:r>
      <w:r w:rsidRPr="00D84C11">
        <w:rPr>
          <w:rFonts w:cs="Times New Roman"/>
        </w:rPr>
        <w:t>Maan Hasso</w:t>
      </w:r>
      <w:r w:rsidRPr="00D84C11">
        <w:rPr>
          <w:rFonts w:cs="Times New Roman"/>
          <w:vertAlign w:val="superscript"/>
        </w:rPr>
        <w:t>1</w:t>
      </w:r>
      <w:r w:rsidRPr="00D84C11">
        <w:rPr>
          <w:rFonts w:cs="Times New Roman"/>
        </w:rPr>
        <w:t xml:space="preserve">, </w:t>
      </w:r>
      <w:r w:rsidRPr="00D84C11">
        <w:rPr>
          <w:rFonts w:cs="Times New Roman"/>
          <w:szCs w:val="24"/>
        </w:rPr>
        <w:t>Justin Bahl</w:t>
      </w:r>
      <w:r>
        <w:rPr>
          <w:rFonts w:cs="Times New Roman"/>
          <w:szCs w:val="24"/>
          <w:vertAlign w:val="superscript"/>
        </w:rPr>
        <w:t>10</w:t>
      </w:r>
      <w:r w:rsidRPr="00D84C11">
        <w:rPr>
          <w:rFonts w:cs="Times New Roman"/>
          <w:szCs w:val="24"/>
        </w:rPr>
        <w:t xml:space="preserve">, </w:t>
      </w:r>
      <w:r w:rsidRPr="000D54E9">
        <w:rPr>
          <w:rFonts w:cs="Times New Roman"/>
          <w:szCs w:val="24"/>
        </w:rPr>
        <w:t>Heba H. Mostafa</w:t>
      </w:r>
      <w:r w:rsidRPr="000D54E9">
        <w:rPr>
          <w:rFonts w:cs="Times New Roman"/>
          <w:szCs w:val="24"/>
          <w:vertAlign w:val="superscript"/>
        </w:rPr>
        <w:t>11</w:t>
      </w:r>
      <w:r w:rsidRPr="000D54E9">
        <w:rPr>
          <w:rFonts w:cs="Times New Roman"/>
          <w:szCs w:val="24"/>
        </w:rPr>
        <w:t>,</w:t>
      </w:r>
      <w:r>
        <w:rPr>
          <w:rStyle w:val="text"/>
          <w:rFonts w:ascii="Arial" w:hAnsi="Arial" w:cs="Arial"/>
          <w:color w:val="1F1F1F"/>
          <w:sz w:val="30"/>
          <w:szCs w:val="30"/>
          <w:shd w:val="clear" w:color="auto" w:fill="FFFFFF"/>
        </w:rPr>
        <w:t xml:space="preserve"> </w:t>
      </w:r>
      <w:r w:rsidRPr="00D84C11">
        <w:rPr>
          <w:rFonts w:cs="Times New Roman"/>
          <w:szCs w:val="24"/>
        </w:rPr>
        <w:t xml:space="preserve">Jonathan </w:t>
      </w:r>
      <w:r>
        <w:rPr>
          <w:rFonts w:cs="Times New Roman"/>
          <w:szCs w:val="24"/>
        </w:rPr>
        <w:t xml:space="preserve">B. </w:t>
      </w:r>
      <w:r w:rsidRPr="00D84C11">
        <w:rPr>
          <w:rFonts w:cs="Times New Roman"/>
          <w:szCs w:val="24"/>
        </w:rPr>
        <w:t>Gubbay</w:t>
      </w:r>
      <w:r w:rsidRPr="00D84C11">
        <w:rPr>
          <w:rFonts w:cs="Times New Roman"/>
          <w:szCs w:val="24"/>
          <w:vertAlign w:val="superscript"/>
        </w:rPr>
        <w:t>1</w:t>
      </w:r>
      <w:r>
        <w:rPr>
          <w:rFonts w:cs="Times New Roman"/>
          <w:szCs w:val="24"/>
          <w:vertAlign w:val="superscript"/>
        </w:rPr>
        <w:t>,12</w:t>
      </w:r>
      <w:r w:rsidRPr="00D84C11">
        <w:rPr>
          <w:rFonts w:cs="Times New Roman"/>
          <w:szCs w:val="24"/>
        </w:rPr>
        <w:t>, Samir N. Patel</w:t>
      </w:r>
      <w:r w:rsidRPr="00D84C11">
        <w:rPr>
          <w:rFonts w:cs="Times New Roman"/>
          <w:szCs w:val="24"/>
          <w:vertAlign w:val="superscript"/>
        </w:rPr>
        <w:t>1,4</w:t>
      </w:r>
      <w:r w:rsidRPr="00D84C11">
        <w:rPr>
          <w:rFonts w:cs="Times New Roman"/>
          <w:szCs w:val="24"/>
        </w:rPr>
        <w:t>,</w:t>
      </w:r>
      <w:r w:rsidRPr="00D84C11">
        <w:rPr>
          <w:rFonts w:cs="Times New Roman"/>
          <w:szCs w:val="24"/>
          <w:vertAlign w:val="superscript"/>
        </w:rPr>
        <w:t xml:space="preserve"> </w:t>
      </w:r>
      <w:r w:rsidRPr="00D84C11">
        <w:rPr>
          <w:rFonts w:cs="Times New Roman"/>
          <w:szCs w:val="24"/>
        </w:rPr>
        <w:t>Jianhong Wu</w:t>
      </w:r>
      <w:r w:rsidRPr="00D84C11">
        <w:rPr>
          <w:rFonts w:cs="Times New Roman"/>
          <w:szCs w:val="24"/>
          <w:vertAlign w:val="superscript"/>
        </w:rPr>
        <w:t>2</w:t>
      </w:r>
      <w:r w:rsidRPr="00D84C11">
        <w:rPr>
          <w:rFonts w:cs="Times New Roman"/>
          <w:szCs w:val="24"/>
        </w:rPr>
        <w:t>,</w:t>
      </w:r>
      <w:r w:rsidRPr="00D84C11">
        <w:rPr>
          <w:rFonts w:cs="Times New Roman"/>
          <w:szCs w:val="24"/>
          <w:vertAlign w:val="superscript"/>
        </w:rPr>
        <w:t xml:space="preserve"> </w:t>
      </w:r>
      <w:r w:rsidRPr="00D84C11">
        <w:rPr>
          <w:rFonts w:cs="Times New Roman"/>
          <w:szCs w:val="24"/>
        </w:rPr>
        <w:t>and Venkata R. Duvvuri</w:t>
      </w:r>
      <w:r w:rsidRPr="00D84C11">
        <w:rPr>
          <w:rFonts w:cs="Times New Roman"/>
          <w:szCs w:val="24"/>
          <w:vertAlign w:val="superscript"/>
        </w:rPr>
        <w:t>1,2,4,</w:t>
      </w:r>
      <w:r w:rsidRPr="00D84C11">
        <w:rPr>
          <w:rFonts w:cs="Times New Roman"/>
          <w:vertAlign w:val="superscript"/>
        </w:rPr>
        <w:t>†</w:t>
      </w:r>
      <w:r w:rsidRPr="00D84C11">
        <w:rPr>
          <w:rFonts w:cs="Times New Roman"/>
          <w:szCs w:val="24"/>
          <w:vertAlign w:val="superscript"/>
        </w:rPr>
        <w:t>, *</w:t>
      </w:r>
    </w:p>
    <w:p w14:paraId="04A53626" w14:textId="77777777" w:rsidR="00924D71" w:rsidRPr="000D54E9" w:rsidRDefault="00924D71" w:rsidP="00924D71">
      <w:pPr>
        <w:rPr>
          <w:rFonts w:cs="Times New Roman"/>
          <w:szCs w:val="24"/>
        </w:rPr>
      </w:pPr>
      <w:r w:rsidRPr="000D54E9">
        <w:rPr>
          <w:rFonts w:cs="Times New Roman"/>
          <w:szCs w:val="24"/>
          <w:vertAlign w:val="superscript"/>
        </w:rPr>
        <w:t>1</w:t>
      </w:r>
      <w:r w:rsidRPr="000D54E9">
        <w:rPr>
          <w:rFonts w:cs="Times New Roman"/>
          <w:szCs w:val="24"/>
        </w:rPr>
        <w:t xml:space="preserve"> Public Health Ontario, Toronto, Ontario, Canada</w:t>
      </w:r>
    </w:p>
    <w:p w14:paraId="511AFBF0" w14:textId="77777777" w:rsidR="00924D71" w:rsidRPr="000D54E9" w:rsidRDefault="00924D71" w:rsidP="00924D71">
      <w:pPr>
        <w:rPr>
          <w:rFonts w:cs="Times New Roman"/>
          <w:szCs w:val="24"/>
        </w:rPr>
      </w:pPr>
      <w:r w:rsidRPr="000D54E9">
        <w:rPr>
          <w:rFonts w:cs="Times New Roman"/>
          <w:szCs w:val="24"/>
          <w:vertAlign w:val="superscript"/>
        </w:rPr>
        <w:t>2</w:t>
      </w:r>
      <w:r w:rsidRPr="000D54E9">
        <w:rPr>
          <w:rFonts w:cs="Times New Roman"/>
          <w:szCs w:val="24"/>
        </w:rPr>
        <w:t xml:space="preserve"> Laboratory for Industrial and Applied Mathematics, Department of Mathematics and Statistics, York University, Toronto, Ontario, Canada</w:t>
      </w:r>
    </w:p>
    <w:p w14:paraId="133FFF81" w14:textId="77777777" w:rsidR="00924D71" w:rsidRPr="000D54E9" w:rsidRDefault="00924D71" w:rsidP="00924D71">
      <w:pPr>
        <w:rPr>
          <w:rFonts w:cs="Times New Roman"/>
          <w:szCs w:val="24"/>
        </w:rPr>
      </w:pPr>
      <w:r w:rsidRPr="000D54E9">
        <w:rPr>
          <w:rFonts w:cs="Times New Roman"/>
          <w:szCs w:val="24"/>
          <w:vertAlign w:val="superscript"/>
        </w:rPr>
        <w:t>3</w:t>
      </w:r>
      <w:r w:rsidRPr="000D54E9">
        <w:rPr>
          <w:rFonts w:cs="Times New Roman"/>
          <w:szCs w:val="24"/>
        </w:rPr>
        <w:t xml:space="preserve"> Department of Pathobiology, S</w:t>
      </w:r>
      <w:r w:rsidRPr="000D54E9">
        <w:rPr>
          <w:rStyle w:val="accordion-tabbedtab-mobile"/>
          <w:rFonts w:cs="Times New Roman"/>
          <w:szCs w:val="24"/>
        </w:rPr>
        <w:t>chool of Veterinary Medicine, University of Pennsylvania, Philadelphia, Pennsylvania, USA</w:t>
      </w:r>
      <w:r w:rsidRPr="000D54E9">
        <w:rPr>
          <w:rFonts w:cs="Times New Roman"/>
          <w:szCs w:val="24"/>
        </w:rPr>
        <w:t xml:space="preserve"> </w:t>
      </w:r>
    </w:p>
    <w:p w14:paraId="1939BF1F" w14:textId="77777777" w:rsidR="00924D71" w:rsidRPr="000D54E9" w:rsidRDefault="00924D71" w:rsidP="00924D71">
      <w:pPr>
        <w:rPr>
          <w:rFonts w:cs="Times New Roman"/>
          <w:szCs w:val="24"/>
        </w:rPr>
      </w:pPr>
      <w:r w:rsidRPr="000D54E9">
        <w:rPr>
          <w:rFonts w:cs="Times New Roman"/>
          <w:szCs w:val="24"/>
          <w:vertAlign w:val="superscript"/>
        </w:rPr>
        <w:t>4</w:t>
      </w:r>
      <w:r w:rsidRPr="000D54E9">
        <w:rPr>
          <w:rFonts w:cs="Times New Roman"/>
          <w:szCs w:val="24"/>
        </w:rPr>
        <w:t xml:space="preserve"> Department of Laboratory Medicine and Pathobiology, Temerty Faculty of Medicine, University of Toronto, Toronto, Ontario, Canada</w:t>
      </w:r>
    </w:p>
    <w:p w14:paraId="5765D822" w14:textId="77777777" w:rsidR="00924D71" w:rsidRPr="000D54E9" w:rsidRDefault="00924D71" w:rsidP="00924D71">
      <w:pPr>
        <w:rPr>
          <w:rFonts w:cs="Times New Roman"/>
          <w:szCs w:val="24"/>
        </w:rPr>
      </w:pPr>
      <w:r w:rsidRPr="000D54E9">
        <w:rPr>
          <w:rFonts w:cs="Times New Roman"/>
          <w:szCs w:val="24"/>
          <w:vertAlign w:val="superscript"/>
        </w:rPr>
        <w:t xml:space="preserve">5 </w:t>
      </w:r>
      <w:r w:rsidRPr="000D54E9">
        <w:rPr>
          <w:rFonts w:cs="Times New Roman"/>
          <w:szCs w:val="24"/>
        </w:rPr>
        <w:t xml:space="preserve">Department of </w:t>
      </w:r>
      <w:proofErr w:type="spellStart"/>
      <w:r w:rsidRPr="000D54E9">
        <w:rPr>
          <w:rFonts w:cs="Times New Roman"/>
          <w:szCs w:val="24"/>
        </w:rPr>
        <w:t>Biosystems</w:t>
      </w:r>
      <w:proofErr w:type="spellEnd"/>
      <w:r w:rsidRPr="000D54E9">
        <w:rPr>
          <w:rFonts w:cs="Times New Roman"/>
          <w:szCs w:val="24"/>
        </w:rPr>
        <w:t xml:space="preserve"> Science and Engineering, ETH Zurich, Basel, Switzerland</w:t>
      </w:r>
    </w:p>
    <w:p w14:paraId="79218250" w14:textId="77777777" w:rsidR="00924D71" w:rsidRPr="000D54E9" w:rsidRDefault="00924D71" w:rsidP="00924D71">
      <w:pPr>
        <w:rPr>
          <w:rFonts w:cs="Times New Roman"/>
          <w:szCs w:val="24"/>
        </w:rPr>
      </w:pPr>
      <w:r w:rsidRPr="000D54E9">
        <w:rPr>
          <w:rFonts w:cs="Times New Roman"/>
          <w:szCs w:val="24"/>
          <w:vertAlign w:val="superscript"/>
        </w:rPr>
        <w:t>6</w:t>
      </w:r>
      <w:r w:rsidRPr="000D54E9">
        <w:rPr>
          <w:rFonts w:cs="Times New Roman"/>
          <w:szCs w:val="24"/>
        </w:rPr>
        <w:t xml:space="preserve"> Swiss Institute of Bioinformatics, Lausanne, Switzerland</w:t>
      </w:r>
    </w:p>
    <w:p w14:paraId="159141D5" w14:textId="77777777" w:rsidR="00924D71" w:rsidRPr="000D54E9" w:rsidRDefault="00924D71" w:rsidP="00924D71">
      <w:pPr>
        <w:rPr>
          <w:rFonts w:cs="Times New Roman"/>
          <w:szCs w:val="24"/>
        </w:rPr>
      </w:pPr>
      <w:r w:rsidRPr="000D54E9">
        <w:rPr>
          <w:rFonts w:cs="Times New Roman"/>
          <w:szCs w:val="24"/>
          <w:vertAlign w:val="superscript"/>
        </w:rPr>
        <w:t>7</w:t>
      </w:r>
      <w:r w:rsidRPr="000D54E9">
        <w:rPr>
          <w:rFonts w:cs="Times New Roman"/>
          <w:szCs w:val="24"/>
        </w:rPr>
        <w:t xml:space="preserve"> National Microbiology Laboratory, Public Health Agency of Canada, Montreal, Canada</w:t>
      </w:r>
    </w:p>
    <w:p w14:paraId="00974B25" w14:textId="77777777" w:rsidR="00924D71" w:rsidRPr="000D54E9" w:rsidRDefault="00924D71" w:rsidP="00924D71">
      <w:pPr>
        <w:rPr>
          <w:rFonts w:cs="Times New Roman"/>
          <w:szCs w:val="24"/>
          <w:vertAlign w:val="superscript"/>
        </w:rPr>
      </w:pPr>
      <w:r w:rsidRPr="000D54E9">
        <w:rPr>
          <w:rFonts w:cs="Times New Roman"/>
          <w:szCs w:val="24"/>
          <w:vertAlign w:val="superscript"/>
        </w:rPr>
        <w:t xml:space="preserve">8 </w:t>
      </w:r>
      <w:r w:rsidRPr="000D54E9">
        <w:rPr>
          <w:rFonts w:cs="Times New Roman"/>
          <w:szCs w:val="24"/>
        </w:rPr>
        <w:t>Department of Mathematics, Simon Fraser University, Burnaby, BC V5A 1S6, Canada.</w:t>
      </w:r>
    </w:p>
    <w:p w14:paraId="472A77D9" w14:textId="77777777" w:rsidR="00924D71" w:rsidRPr="000D54E9" w:rsidRDefault="00924D71" w:rsidP="00924D71">
      <w:pPr>
        <w:rPr>
          <w:rFonts w:eastAsia="Times New Roman" w:cs="Times New Roman"/>
          <w:szCs w:val="24"/>
        </w:rPr>
      </w:pPr>
      <w:r w:rsidRPr="000D54E9">
        <w:rPr>
          <w:rFonts w:cs="Times New Roman"/>
          <w:szCs w:val="24"/>
          <w:vertAlign w:val="superscript"/>
        </w:rPr>
        <w:t>9</w:t>
      </w:r>
      <w:r w:rsidRPr="000D54E9">
        <w:rPr>
          <w:rFonts w:cs="Times New Roman"/>
          <w:szCs w:val="24"/>
        </w:rPr>
        <w:t xml:space="preserve"> </w:t>
      </w:r>
      <w:r w:rsidRPr="000D54E9">
        <w:rPr>
          <w:rFonts w:eastAsia="Times New Roman" w:cs="Times New Roman"/>
          <w:szCs w:val="24"/>
        </w:rPr>
        <w:t>Sunnybrook Research Institute, Toronto, Ontario, Canada</w:t>
      </w:r>
    </w:p>
    <w:p w14:paraId="43449C85" w14:textId="77777777" w:rsidR="00924D71" w:rsidRPr="000D54E9" w:rsidRDefault="00924D71" w:rsidP="00924D71">
      <w:pPr>
        <w:rPr>
          <w:rFonts w:cs="Times New Roman"/>
          <w:szCs w:val="24"/>
        </w:rPr>
      </w:pPr>
      <w:r w:rsidRPr="000D54E9">
        <w:rPr>
          <w:rFonts w:cs="Times New Roman"/>
          <w:szCs w:val="24"/>
          <w:vertAlign w:val="superscript"/>
        </w:rPr>
        <w:t>10</w:t>
      </w:r>
      <w:r w:rsidRPr="000D54E9">
        <w:rPr>
          <w:rFonts w:cs="Times New Roman"/>
          <w:szCs w:val="24"/>
        </w:rPr>
        <w:t xml:space="preserve"> Center for the Ecology of Infectious Disease, Department of Infectious Diseases, Institute of Bioinformatics, University of Georgia, Athens, Georgia, USA</w:t>
      </w:r>
    </w:p>
    <w:p w14:paraId="3A3573B5" w14:textId="77777777" w:rsidR="00924D71" w:rsidRPr="000D54E9" w:rsidRDefault="00924D71" w:rsidP="00924D71">
      <w:pPr>
        <w:pStyle w:val="BodyTextFirstIndent"/>
        <w:ind w:firstLine="0"/>
        <w:rPr>
          <w:rFonts w:cs="Times New Roman"/>
          <w:szCs w:val="24"/>
        </w:rPr>
      </w:pPr>
      <w:bookmarkStart w:id="0" w:name="_Hlk164441018"/>
      <w:r w:rsidRPr="000D54E9">
        <w:rPr>
          <w:szCs w:val="24"/>
          <w:vertAlign w:val="superscript"/>
        </w:rPr>
        <w:t>11</w:t>
      </w:r>
      <w:r w:rsidRPr="000D54E9">
        <w:rPr>
          <w:rFonts w:cs="Times New Roman"/>
          <w:szCs w:val="24"/>
        </w:rPr>
        <w:t xml:space="preserve"> Johns Hopkins School of Medicine, Department of Pathology, Division of Medical Microbiology, United States</w:t>
      </w:r>
    </w:p>
    <w:p w14:paraId="2FA4B4FB" w14:textId="77777777" w:rsidR="00924D71" w:rsidRPr="000D54E9" w:rsidRDefault="00924D71" w:rsidP="00924D71">
      <w:pPr>
        <w:pStyle w:val="BodyTextFirstIndent"/>
        <w:ind w:firstLine="0"/>
        <w:rPr>
          <w:szCs w:val="24"/>
        </w:rPr>
      </w:pPr>
      <w:r w:rsidRPr="000D54E9">
        <w:rPr>
          <w:szCs w:val="24"/>
          <w:vertAlign w:val="superscript"/>
        </w:rPr>
        <w:t>12</w:t>
      </w:r>
      <w:r w:rsidRPr="000D54E9">
        <w:rPr>
          <w:rFonts w:cs="Times New Roman"/>
          <w:szCs w:val="24"/>
        </w:rPr>
        <w:t xml:space="preserve"> Department of Pathology and Laboratory Medicine, Faculty of Medicine, University of British Columbia, Vancouver, British Columbia, Canada</w:t>
      </w:r>
    </w:p>
    <w:p w14:paraId="00FBEF00" w14:textId="04459C5D" w:rsidR="0051219A" w:rsidRDefault="00ED4D7B" w:rsidP="00ED4D7B">
      <w:pPr>
        <w:pStyle w:val="Heading1"/>
        <w:numPr>
          <w:ilvl w:val="0"/>
          <w:numId w:val="0"/>
        </w:numPr>
        <w:ind w:left="432" w:hanging="432"/>
      </w:pPr>
      <w:bookmarkStart w:id="1" w:name="_GoBack"/>
      <w:bookmarkEnd w:id="0"/>
      <w:bookmarkEnd w:id="1"/>
      <w:r>
        <w:br w:type="column"/>
      </w:r>
      <w:r>
        <w:lastRenderedPageBreak/>
        <w:t xml:space="preserve">1. </w:t>
      </w:r>
      <w:r w:rsidR="0051219A" w:rsidRPr="00ED4D7B">
        <w:t>Methods</w:t>
      </w:r>
    </w:p>
    <w:p w14:paraId="04F4FEE5" w14:textId="77777777" w:rsidR="00ED4D7B" w:rsidRPr="00ED4D7B" w:rsidRDefault="00ED4D7B" w:rsidP="00ED4D7B"/>
    <w:p w14:paraId="5C0C8C18" w14:textId="1CFA0DCA" w:rsidR="00152C8A" w:rsidRPr="00404AF9" w:rsidRDefault="00152C8A" w:rsidP="00152C8A">
      <w:pPr>
        <w:pStyle w:val="Caption"/>
        <w:keepNext/>
        <w:rPr>
          <w:b/>
          <w:i w:val="0"/>
          <w:sz w:val="24"/>
          <w:szCs w:val="24"/>
        </w:rPr>
      </w:pPr>
      <w:r w:rsidRPr="00404AF9">
        <w:rPr>
          <w:b/>
          <w:i w:val="0"/>
          <w:color w:val="auto"/>
          <w:sz w:val="24"/>
          <w:szCs w:val="24"/>
        </w:rPr>
        <w:t xml:space="preserve">Table </w:t>
      </w:r>
      <w:r w:rsidR="00ED4D7B">
        <w:rPr>
          <w:b/>
          <w:i w:val="0"/>
          <w:color w:val="auto"/>
          <w:sz w:val="24"/>
          <w:szCs w:val="24"/>
        </w:rPr>
        <w:t>S</w:t>
      </w:r>
      <w:r w:rsidRPr="00404AF9">
        <w:rPr>
          <w:b/>
          <w:i w:val="0"/>
          <w:noProof/>
          <w:color w:val="auto"/>
          <w:sz w:val="24"/>
          <w:szCs w:val="24"/>
        </w:rPr>
        <w:fldChar w:fldCharType="begin"/>
      </w:r>
      <w:r w:rsidRPr="00404AF9">
        <w:rPr>
          <w:b/>
          <w:i w:val="0"/>
          <w:noProof/>
          <w:color w:val="auto"/>
          <w:sz w:val="24"/>
          <w:szCs w:val="24"/>
        </w:rPr>
        <w:instrText xml:space="preserve"> SEQ Table \* ARABIC </w:instrText>
      </w:r>
      <w:r w:rsidRPr="00404AF9">
        <w:rPr>
          <w:b/>
          <w:i w:val="0"/>
          <w:noProof/>
          <w:color w:val="auto"/>
          <w:sz w:val="24"/>
          <w:szCs w:val="24"/>
        </w:rPr>
        <w:fldChar w:fldCharType="separate"/>
      </w:r>
      <w:r w:rsidRPr="00404AF9">
        <w:rPr>
          <w:b/>
          <w:i w:val="0"/>
          <w:noProof/>
          <w:color w:val="auto"/>
          <w:sz w:val="24"/>
          <w:szCs w:val="24"/>
        </w:rPr>
        <w:t>1</w:t>
      </w:r>
      <w:r w:rsidRPr="00404AF9">
        <w:rPr>
          <w:b/>
          <w:i w:val="0"/>
          <w:noProof/>
          <w:color w:val="auto"/>
          <w:sz w:val="24"/>
          <w:szCs w:val="24"/>
        </w:rPr>
        <w:fldChar w:fldCharType="end"/>
      </w:r>
      <w:r w:rsidRPr="00404AF9">
        <w:rPr>
          <w:b/>
          <w:i w:val="0"/>
          <w:color w:val="auto"/>
          <w:sz w:val="24"/>
          <w:szCs w:val="24"/>
        </w:rPr>
        <w:t>: Primers used to sequence whole EV-D68 genome.</w:t>
      </w: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268"/>
        <w:gridCol w:w="4394"/>
        <w:gridCol w:w="1555"/>
        <w:gridCol w:w="1564"/>
      </w:tblGrid>
      <w:tr w:rsidR="00152C8A" w:rsidRPr="003C6898" w14:paraId="70E92D11" w14:textId="77777777" w:rsidTr="00ED581E">
        <w:trPr>
          <w:trHeight w:val="735"/>
        </w:trPr>
        <w:tc>
          <w:tcPr>
            <w:tcW w:w="709" w:type="dxa"/>
            <w:tcMar>
              <w:left w:w="108" w:type="dxa"/>
              <w:right w:w="108" w:type="dxa"/>
            </w:tcMar>
            <w:vAlign w:val="center"/>
          </w:tcPr>
          <w:p w14:paraId="68675E4B" w14:textId="77777777" w:rsidR="00152C8A" w:rsidRPr="003C6898" w:rsidRDefault="00152C8A" w:rsidP="00ED581E">
            <w:pPr>
              <w:rPr>
                <w:sz w:val="22"/>
                <w:szCs w:val="24"/>
              </w:rPr>
            </w:pPr>
            <w:r w:rsidRPr="003C6898">
              <w:rPr>
                <w:sz w:val="22"/>
                <w:szCs w:val="24"/>
              </w:rPr>
              <w:t>PCR</w:t>
            </w:r>
          </w:p>
        </w:tc>
        <w:tc>
          <w:tcPr>
            <w:tcW w:w="2268" w:type="dxa"/>
            <w:tcMar>
              <w:left w:w="108" w:type="dxa"/>
              <w:right w:w="108" w:type="dxa"/>
            </w:tcMar>
            <w:vAlign w:val="center"/>
          </w:tcPr>
          <w:p w14:paraId="609945ED" w14:textId="77777777" w:rsidR="00152C8A" w:rsidRPr="003C6898" w:rsidRDefault="00152C8A" w:rsidP="00ED581E">
            <w:pPr>
              <w:rPr>
                <w:sz w:val="22"/>
                <w:szCs w:val="24"/>
              </w:rPr>
            </w:pPr>
            <w:r w:rsidRPr="003C6898">
              <w:rPr>
                <w:sz w:val="22"/>
                <w:szCs w:val="24"/>
              </w:rPr>
              <w:t>primer</w:t>
            </w:r>
          </w:p>
        </w:tc>
        <w:tc>
          <w:tcPr>
            <w:tcW w:w="4394" w:type="dxa"/>
            <w:tcMar>
              <w:left w:w="108" w:type="dxa"/>
              <w:right w:w="108" w:type="dxa"/>
            </w:tcMar>
            <w:vAlign w:val="center"/>
          </w:tcPr>
          <w:p w14:paraId="731C7767" w14:textId="77777777" w:rsidR="00152C8A" w:rsidRPr="003C6898" w:rsidRDefault="00152C8A" w:rsidP="00ED581E">
            <w:pPr>
              <w:rPr>
                <w:sz w:val="22"/>
                <w:szCs w:val="24"/>
              </w:rPr>
            </w:pPr>
            <w:r w:rsidRPr="003C6898">
              <w:rPr>
                <w:sz w:val="22"/>
                <w:szCs w:val="24"/>
              </w:rPr>
              <w:t>sequence (5'-3')</w:t>
            </w:r>
          </w:p>
        </w:tc>
        <w:tc>
          <w:tcPr>
            <w:tcW w:w="1555" w:type="dxa"/>
            <w:tcMar>
              <w:left w:w="108" w:type="dxa"/>
              <w:right w:w="108" w:type="dxa"/>
            </w:tcMar>
            <w:vAlign w:val="center"/>
          </w:tcPr>
          <w:p w14:paraId="261D903F" w14:textId="77777777" w:rsidR="00152C8A" w:rsidRPr="003C6898" w:rsidRDefault="00152C8A" w:rsidP="00ED581E">
            <w:pPr>
              <w:rPr>
                <w:sz w:val="22"/>
                <w:szCs w:val="24"/>
              </w:rPr>
            </w:pPr>
            <w:r w:rsidRPr="003C6898">
              <w:rPr>
                <w:sz w:val="22"/>
                <w:szCs w:val="24"/>
              </w:rPr>
              <w:t>Position in genome*</w:t>
            </w:r>
          </w:p>
        </w:tc>
        <w:tc>
          <w:tcPr>
            <w:tcW w:w="1564" w:type="dxa"/>
            <w:tcMar>
              <w:left w:w="108" w:type="dxa"/>
              <w:right w:w="108" w:type="dxa"/>
            </w:tcMar>
            <w:vAlign w:val="center"/>
          </w:tcPr>
          <w:p w14:paraId="57339508" w14:textId="77777777" w:rsidR="00152C8A" w:rsidRPr="003C6898" w:rsidRDefault="00152C8A" w:rsidP="00ED581E">
            <w:pPr>
              <w:rPr>
                <w:sz w:val="22"/>
                <w:szCs w:val="24"/>
              </w:rPr>
            </w:pPr>
            <w:proofErr w:type="spellStart"/>
            <w:r w:rsidRPr="003C6898">
              <w:rPr>
                <w:sz w:val="22"/>
                <w:szCs w:val="24"/>
              </w:rPr>
              <w:t>Amplicon</w:t>
            </w:r>
            <w:proofErr w:type="spellEnd"/>
            <w:r w:rsidRPr="003C6898">
              <w:rPr>
                <w:sz w:val="22"/>
                <w:szCs w:val="24"/>
              </w:rPr>
              <w:t xml:space="preserve"> size (</w:t>
            </w:r>
            <w:proofErr w:type="spellStart"/>
            <w:r w:rsidRPr="003C6898">
              <w:rPr>
                <w:sz w:val="22"/>
                <w:szCs w:val="24"/>
              </w:rPr>
              <w:t>bp</w:t>
            </w:r>
            <w:proofErr w:type="spellEnd"/>
            <w:r w:rsidRPr="003C6898">
              <w:rPr>
                <w:sz w:val="22"/>
                <w:szCs w:val="24"/>
              </w:rPr>
              <w:t>)</w:t>
            </w:r>
          </w:p>
        </w:tc>
      </w:tr>
      <w:tr w:rsidR="00152C8A" w:rsidRPr="003C6898" w14:paraId="52E4C5E0" w14:textId="77777777" w:rsidTr="00ED581E">
        <w:trPr>
          <w:trHeight w:val="300"/>
        </w:trPr>
        <w:tc>
          <w:tcPr>
            <w:tcW w:w="709" w:type="dxa"/>
            <w:vMerge w:val="restart"/>
            <w:tcMar>
              <w:left w:w="108" w:type="dxa"/>
              <w:right w:w="108" w:type="dxa"/>
            </w:tcMar>
            <w:vAlign w:val="center"/>
          </w:tcPr>
          <w:p w14:paraId="3C72EB39" w14:textId="77777777" w:rsidR="00152C8A" w:rsidRPr="003C6898" w:rsidRDefault="00152C8A" w:rsidP="00ED581E">
            <w:pPr>
              <w:rPr>
                <w:sz w:val="22"/>
                <w:szCs w:val="24"/>
              </w:rPr>
            </w:pPr>
            <w:r w:rsidRPr="003C6898">
              <w:rPr>
                <w:sz w:val="22"/>
                <w:szCs w:val="24"/>
              </w:rPr>
              <w:t>1</w:t>
            </w:r>
          </w:p>
        </w:tc>
        <w:tc>
          <w:tcPr>
            <w:tcW w:w="2268" w:type="dxa"/>
            <w:tcMar>
              <w:left w:w="108" w:type="dxa"/>
              <w:right w:w="108" w:type="dxa"/>
            </w:tcMar>
            <w:vAlign w:val="center"/>
          </w:tcPr>
          <w:p w14:paraId="1FB6C1E6" w14:textId="77777777" w:rsidR="00152C8A" w:rsidRPr="003C6898" w:rsidRDefault="00152C8A" w:rsidP="00ED581E">
            <w:pPr>
              <w:rPr>
                <w:sz w:val="22"/>
                <w:szCs w:val="24"/>
              </w:rPr>
            </w:pPr>
            <w:r w:rsidRPr="003C6898">
              <w:rPr>
                <w:sz w:val="22"/>
                <w:szCs w:val="24"/>
              </w:rPr>
              <w:t>EV_D68-F1_For</w:t>
            </w:r>
          </w:p>
        </w:tc>
        <w:tc>
          <w:tcPr>
            <w:tcW w:w="4394" w:type="dxa"/>
            <w:tcMar>
              <w:left w:w="108" w:type="dxa"/>
              <w:right w:w="108" w:type="dxa"/>
            </w:tcMar>
            <w:vAlign w:val="center"/>
          </w:tcPr>
          <w:p w14:paraId="41396660" w14:textId="77777777" w:rsidR="00152C8A" w:rsidRPr="003C6898" w:rsidRDefault="00152C8A" w:rsidP="00ED581E">
            <w:pPr>
              <w:rPr>
                <w:sz w:val="22"/>
                <w:szCs w:val="24"/>
              </w:rPr>
            </w:pPr>
            <w:r w:rsidRPr="003C6898">
              <w:rPr>
                <w:sz w:val="22"/>
                <w:szCs w:val="24"/>
              </w:rPr>
              <w:t>TTAAAACAGCCTTGGGGTTG</w:t>
            </w:r>
          </w:p>
        </w:tc>
        <w:tc>
          <w:tcPr>
            <w:tcW w:w="1555" w:type="dxa"/>
            <w:tcMar>
              <w:left w:w="108" w:type="dxa"/>
              <w:right w:w="108" w:type="dxa"/>
            </w:tcMar>
            <w:vAlign w:val="bottom"/>
          </w:tcPr>
          <w:p w14:paraId="52195833" w14:textId="77777777" w:rsidR="00152C8A" w:rsidRPr="003C6898" w:rsidRDefault="00152C8A" w:rsidP="00ED581E">
            <w:pPr>
              <w:rPr>
                <w:sz w:val="22"/>
                <w:szCs w:val="24"/>
              </w:rPr>
            </w:pPr>
            <w:r w:rsidRPr="003C6898">
              <w:rPr>
                <w:sz w:val="22"/>
                <w:szCs w:val="24"/>
              </w:rPr>
              <w:t>1- 20</w:t>
            </w:r>
          </w:p>
        </w:tc>
        <w:tc>
          <w:tcPr>
            <w:tcW w:w="1564" w:type="dxa"/>
            <w:vMerge w:val="restart"/>
            <w:tcMar>
              <w:left w:w="108" w:type="dxa"/>
              <w:right w:w="108" w:type="dxa"/>
            </w:tcMar>
            <w:vAlign w:val="center"/>
          </w:tcPr>
          <w:p w14:paraId="315988E0" w14:textId="77777777" w:rsidR="00152C8A" w:rsidRPr="003C6898" w:rsidRDefault="00152C8A" w:rsidP="00ED581E">
            <w:pPr>
              <w:rPr>
                <w:sz w:val="22"/>
                <w:szCs w:val="24"/>
              </w:rPr>
            </w:pPr>
            <w:r w:rsidRPr="003C6898">
              <w:rPr>
                <w:sz w:val="22"/>
                <w:szCs w:val="24"/>
              </w:rPr>
              <w:t>2764</w:t>
            </w:r>
          </w:p>
        </w:tc>
      </w:tr>
      <w:tr w:rsidR="00152C8A" w:rsidRPr="003C6898" w14:paraId="2AEDBD20" w14:textId="77777777" w:rsidTr="00ED581E">
        <w:trPr>
          <w:trHeight w:val="300"/>
        </w:trPr>
        <w:tc>
          <w:tcPr>
            <w:tcW w:w="709" w:type="dxa"/>
            <w:vMerge/>
            <w:vAlign w:val="center"/>
          </w:tcPr>
          <w:p w14:paraId="2D880DAC" w14:textId="77777777" w:rsidR="00152C8A" w:rsidRPr="003C6898" w:rsidRDefault="00152C8A" w:rsidP="00ED581E">
            <w:pPr>
              <w:rPr>
                <w:sz w:val="22"/>
                <w:szCs w:val="24"/>
              </w:rPr>
            </w:pPr>
          </w:p>
        </w:tc>
        <w:tc>
          <w:tcPr>
            <w:tcW w:w="2268" w:type="dxa"/>
            <w:tcMar>
              <w:left w:w="108" w:type="dxa"/>
              <w:right w:w="108" w:type="dxa"/>
            </w:tcMar>
            <w:vAlign w:val="center"/>
          </w:tcPr>
          <w:p w14:paraId="57815D85" w14:textId="77777777" w:rsidR="00152C8A" w:rsidRPr="003C6898" w:rsidRDefault="00152C8A" w:rsidP="00ED581E">
            <w:pPr>
              <w:rPr>
                <w:sz w:val="22"/>
                <w:szCs w:val="24"/>
              </w:rPr>
            </w:pPr>
            <w:r w:rsidRPr="003C6898">
              <w:rPr>
                <w:sz w:val="22"/>
                <w:szCs w:val="24"/>
              </w:rPr>
              <w:t>EV_D68-F1_Rev</w:t>
            </w:r>
          </w:p>
        </w:tc>
        <w:tc>
          <w:tcPr>
            <w:tcW w:w="4394" w:type="dxa"/>
            <w:tcMar>
              <w:left w:w="108" w:type="dxa"/>
              <w:right w:w="108" w:type="dxa"/>
            </w:tcMar>
            <w:vAlign w:val="center"/>
          </w:tcPr>
          <w:p w14:paraId="18ED8F96" w14:textId="77777777" w:rsidR="00152C8A" w:rsidRPr="003C6898" w:rsidRDefault="00152C8A" w:rsidP="00ED581E">
            <w:pPr>
              <w:rPr>
                <w:sz w:val="22"/>
                <w:szCs w:val="24"/>
              </w:rPr>
            </w:pPr>
            <w:r w:rsidRPr="003C6898">
              <w:rPr>
                <w:sz w:val="22"/>
                <w:szCs w:val="24"/>
              </w:rPr>
              <w:t>ACAGTTGTGAGTATAGTGATCTCAGC</w:t>
            </w:r>
          </w:p>
        </w:tc>
        <w:tc>
          <w:tcPr>
            <w:tcW w:w="1555" w:type="dxa"/>
            <w:tcMar>
              <w:left w:w="108" w:type="dxa"/>
              <w:right w:w="108" w:type="dxa"/>
            </w:tcMar>
            <w:vAlign w:val="bottom"/>
          </w:tcPr>
          <w:p w14:paraId="6CAA1FEB" w14:textId="77777777" w:rsidR="00152C8A" w:rsidRPr="003C6898" w:rsidRDefault="00152C8A" w:rsidP="00ED581E">
            <w:pPr>
              <w:rPr>
                <w:sz w:val="22"/>
                <w:szCs w:val="24"/>
              </w:rPr>
            </w:pPr>
            <w:r w:rsidRPr="003C6898">
              <w:rPr>
                <w:sz w:val="22"/>
                <w:szCs w:val="24"/>
              </w:rPr>
              <w:t>2739- 2764</w:t>
            </w:r>
          </w:p>
        </w:tc>
        <w:tc>
          <w:tcPr>
            <w:tcW w:w="1564" w:type="dxa"/>
            <w:vMerge/>
            <w:vAlign w:val="center"/>
          </w:tcPr>
          <w:p w14:paraId="55975D93" w14:textId="77777777" w:rsidR="00152C8A" w:rsidRPr="003C6898" w:rsidRDefault="00152C8A" w:rsidP="00ED581E">
            <w:pPr>
              <w:rPr>
                <w:sz w:val="22"/>
                <w:szCs w:val="24"/>
              </w:rPr>
            </w:pPr>
          </w:p>
        </w:tc>
      </w:tr>
      <w:tr w:rsidR="00152C8A" w:rsidRPr="003C6898" w14:paraId="7D4A7F6C" w14:textId="77777777" w:rsidTr="00ED581E">
        <w:trPr>
          <w:trHeight w:val="300"/>
        </w:trPr>
        <w:tc>
          <w:tcPr>
            <w:tcW w:w="709" w:type="dxa"/>
            <w:vMerge w:val="restart"/>
            <w:tcMar>
              <w:left w:w="108" w:type="dxa"/>
              <w:right w:w="108" w:type="dxa"/>
            </w:tcMar>
            <w:vAlign w:val="center"/>
          </w:tcPr>
          <w:p w14:paraId="7D7D3D9A" w14:textId="77777777" w:rsidR="00152C8A" w:rsidRPr="003C6898" w:rsidRDefault="00152C8A" w:rsidP="00ED581E">
            <w:pPr>
              <w:rPr>
                <w:sz w:val="22"/>
                <w:szCs w:val="24"/>
              </w:rPr>
            </w:pPr>
            <w:r w:rsidRPr="003C6898">
              <w:rPr>
                <w:sz w:val="22"/>
                <w:szCs w:val="24"/>
              </w:rPr>
              <w:t>2</w:t>
            </w:r>
          </w:p>
        </w:tc>
        <w:tc>
          <w:tcPr>
            <w:tcW w:w="2268" w:type="dxa"/>
            <w:tcMar>
              <w:left w:w="108" w:type="dxa"/>
              <w:right w:w="108" w:type="dxa"/>
            </w:tcMar>
            <w:vAlign w:val="center"/>
          </w:tcPr>
          <w:p w14:paraId="48B13A00" w14:textId="77777777" w:rsidR="00152C8A" w:rsidRPr="003C6898" w:rsidRDefault="00152C8A" w:rsidP="00ED581E">
            <w:pPr>
              <w:rPr>
                <w:sz w:val="22"/>
                <w:szCs w:val="24"/>
              </w:rPr>
            </w:pPr>
            <w:r w:rsidRPr="003C6898">
              <w:rPr>
                <w:sz w:val="22"/>
                <w:szCs w:val="24"/>
              </w:rPr>
              <w:t>EV_D68-F2_For</w:t>
            </w:r>
          </w:p>
        </w:tc>
        <w:tc>
          <w:tcPr>
            <w:tcW w:w="4394" w:type="dxa"/>
            <w:tcMar>
              <w:left w:w="108" w:type="dxa"/>
              <w:right w:w="108" w:type="dxa"/>
            </w:tcMar>
            <w:vAlign w:val="center"/>
          </w:tcPr>
          <w:p w14:paraId="520AF1FB" w14:textId="77777777" w:rsidR="00152C8A" w:rsidRPr="003C6898" w:rsidRDefault="00152C8A" w:rsidP="00ED581E">
            <w:pPr>
              <w:rPr>
                <w:sz w:val="22"/>
                <w:szCs w:val="24"/>
              </w:rPr>
            </w:pPr>
            <w:r w:rsidRPr="003C6898">
              <w:rPr>
                <w:sz w:val="22"/>
                <w:szCs w:val="24"/>
              </w:rPr>
              <w:t>ATAATACCTTGGATTAGTGGATCCCA</w:t>
            </w:r>
          </w:p>
        </w:tc>
        <w:tc>
          <w:tcPr>
            <w:tcW w:w="1555" w:type="dxa"/>
            <w:tcMar>
              <w:left w:w="108" w:type="dxa"/>
              <w:right w:w="108" w:type="dxa"/>
            </w:tcMar>
            <w:vAlign w:val="bottom"/>
          </w:tcPr>
          <w:p w14:paraId="08F21E2D" w14:textId="77777777" w:rsidR="00152C8A" w:rsidRPr="003C6898" w:rsidRDefault="00152C8A" w:rsidP="00ED581E">
            <w:pPr>
              <w:rPr>
                <w:sz w:val="22"/>
                <w:szCs w:val="24"/>
              </w:rPr>
            </w:pPr>
            <w:r w:rsidRPr="003C6898">
              <w:rPr>
                <w:sz w:val="22"/>
                <w:szCs w:val="24"/>
              </w:rPr>
              <w:t>2145-2170</w:t>
            </w:r>
          </w:p>
        </w:tc>
        <w:tc>
          <w:tcPr>
            <w:tcW w:w="1564" w:type="dxa"/>
            <w:vMerge w:val="restart"/>
            <w:tcMar>
              <w:left w:w="108" w:type="dxa"/>
              <w:right w:w="108" w:type="dxa"/>
            </w:tcMar>
            <w:vAlign w:val="center"/>
          </w:tcPr>
          <w:p w14:paraId="4B7C5EB7" w14:textId="77777777" w:rsidR="00152C8A" w:rsidRPr="003C6898" w:rsidRDefault="00152C8A" w:rsidP="00ED581E">
            <w:pPr>
              <w:rPr>
                <w:sz w:val="22"/>
                <w:szCs w:val="24"/>
              </w:rPr>
            </w:pPr>
            <w:r w:rsidRPr="003C6898">
              <w:rPr>
                <w:sz w:val="22"/>
                <w:szCs w:val="24"/>
              </w:rPr>
              <w:t>2736</w:t>
            </w:r>
          </w:p>
        </w:tc>
      </w:tr>
      <w:tr w:rsidR="00152C8A" w:rsidRPr="003C6898" w14:paraId="1F007B03" w14:textId="77777777" w:rsidTr="00ED581E">
        <w:trPr>
          <w:trHeight w:val="300"/>
        </w:trPr>
        <w:tc>
          <w:tcPr>
            <w:tcW w:w="709" w:type="dxa"/>
            <w:vMerge/>
            <w:vAlign w:val="center"/>
          </w:tcPr>
          <w:p w14:paraId="2E07567C" w14:textId="77777777" w:rsidR="00152C8A" w:rsidRPr="003C6898" w:rsidRDefault="00152C8A" w:rsidP="00ED581E">
            <w:pPr>
              <w:rPr>
                <w:sz w:val="22"/>
                <w:szCs w:val="24"/>
              </w:rPr>
            </w:pPr>
          </w:p>
        </w:tc>
        <w:tc>
          <w:tcPr>
            <w:tcW w:w="2268" w:type="dxa"/>
            <w:tcMar>
              <w:left w:w="108" w:type="dxa"/>
              <w:right w:w="108" w:type="dxa"/>
            </w:tcMar>
            <w:vAlign w:val="center"/>
          </w:tcPr>
          <w:p w14:paraId="6A8D9D73" w14:textId="77777777" w:rsidR="00152C8A" w:rsidRPr="003C6898" w:rsidRDefault="00152C8A" w:rsidP="00ED581E">
            <w:pPr>
              <w:rPr>
                <w:sz w:val="22"/>
                <w:szCs w:val="24"/>
              </w:rPr>
            </w:pPr>
            <w:r w:rsidRPr="003C6898">
              <w:rPr>
                <w:sz w:val="22"/>
                <w:szCs w:val="24"/>
              </w:rPr>
              <w:t>EV_D68-F2_Rev</w:t>
            </w:r>
          </w:p>
        </w:tc>
        <w:tc>
          <w:tcPr>
            <w:tcW w:w="4394" w:type="dxa"/>
            <w:tcMar>
              <w:left w:w="108" w:type="dxa"/>
              <w:right w:w="108" w:type="dxa"/>
            </w:tcMar>
            <w:vAlign w:val="center"/>
          </w:tcPr>
          <w:p w14:paraId="55DE2CC7" w14:textId="77777777" w:rsidR="00152C8A" w:rsidRPr="003C6898" w:rsidRDefault="00152C8A" w:rsidP="00ED581E">
            <w:pPr>
              <w:rPr>
                <w:sz w:val="22"/>
                <w:szCs w:val="24"/>
              </w:rPr>
            </w:pPr>
            <w:r w:rsidRPr="003C6898">
              <w:rPr>
                <w:sz w:val="22"/>
                <w:szCs w:val="24"/>
              </w:rPr>
              <w:t>CACAGATCAATGGGCAGCATCT</w:t>
            </w:r>
          </w:p>
        </w:tc>
        <w:tc>
          <w:tcPr>
            <w:tcW w:w="1555" w:type="dxa"/>
            <w:tcMar>
              <w:left w:w="108" w:type="dxa"/>
              <w:right w:w="108" w:type="dxa"/>
            </w:tcMar>
            <w:vAlign w:val="bottom"/>
          </w:tcPr>
          <w:p w14:paraId="4768ACA1" w14:textId="77777777" w:rsidR="00152C8A" w:rsidRPr="003C6898" w:rsidRDefault="00152C8A" w:rsidP="00ED581E">
            <w:pPr>
              <w:rPr>
                <w:sz w:val="22"/>
                <w:szCs w:val="24"/>
              </w:rPr>
            </w:pPr>
            <w:r w:rsidRPr="003C6898">
              <w:rPr>
                <w:sz w:val="22"/>
                <w:szCs w:val="24"/>
              </w:rPr>
              <w:t>4860- 4881</w:t>
            </w:r>
          </w:p>
        </w:tc>
        <w:tc>
          <w:tcPr>
            <w:tcW w:w="1564" w:type="dxa"/>
            <w:vMerge/>
            <w:vAlign w:val="center"/>
          </w:tcPr>
          <w:p w14:paraId="15B36A44" w14:textId="77777777" w:rsidR="00152C8A" w:rsidRPr="003C6898" w:rsidRDefault="00152C8A" w:rsidP="00ED581E">
            <w:pPr>
              <w:rPr>
                <w:sz w:val="22"/>
                <w:szCs w:val="24"/>
              </w:rPr>
            </w:pPr>
          </w:p>
        </w:tc>
      </w:tr>
      <w:tr w:rsidR="00152C8A" w:rsidRPr="003C6898" w14:paraId="6F9D5DF4" w14:textId="77777777" w:rsidTr="00ED581E">
        <w:trPr>
          <w:trHeight w:val="300"/>
        </w:trPr>
        <w:tc>
          <w:tcPr>
            <w:tcW w:w="709" w:type="dxa"/>
            <w:vMerge w:val="restart"/>
            <w:tcMar>
              <w:left w:w="108" w:type="dxa"/>
              <w:right w:w="108" w:type="dxa"/>
            </w:tcMar>
            <w:vAlign w:val="center"/>
          </w:tcPr>
          <w:p w14:paraId="707BE06D" w14:textId="77777777" w:rsidR="00152C8A" w:rsidRPr="003C6898" w:rsidRDefault="00152C8A" w:rsidP="00ED581E">
            <w:pPr>
              <w:rPr>
                <w:sz w:val="22"/>
                <w:szCs w:val="24"/>
              </w:rPr>
            </w:pPr>
            <w:r w:rsidRPr="003C6898">
              <w:rPr>
                <w:sz w:val="22"/>
                <w:szCs w:val="24"/>
              </w:rPr>
              <w:t>3</w:t>
            </w:r>
          </w:p>
        </w:tc>
        <w:tc>
          <w:tcPr>
            <w:tcW w:w="2268" w:type="dxa"/>
            <w:tcMar>
              <w:left w:w="108" w:type="dxa"/>
              <w:right w:w="108" w:type="dxa"/>
            </w:tcMar>
            <w:vAlign w:val="center"/>
          </w:tcPr>
          <w:p w14:paraId="5B5DBA98" w14:textId="77777777" w:rsidR="00152C8A" w:rsidRPr="003C6898" w:rsidRDefault="00152C8A" w:rsidP="00ED581E">
            <w:pPr>
              <w:rPr>
                <w:sz w:val="22"/>
                <w:szCs w:val="24"/>
              </w:rPr>
            </w:pPr>
            <w:r w:rsidRPr="003C6898">
              <w:rPr>
                <w:sz w:val="22"/>
                <w:szCs w:val="24"/>
              </w:rPr>
              <w:t>EV_D68-F3_For</w:t>
            </w:r>
          </w:p>
        </w:tc>
        <w:tc>
          <w:tcPr>
            <w:tcW w:w="4394" w:type="dxa"/>
            <w:tcMar>
              <w:left w:w="108" w:type="dxa"/>
              <w:right w:w="108" w:type="dxa"/>
            </w:tcMar>
            <w:vAlign w:val="center"/>
          </w:tcPr>
          <w:p w14:paraId="35CC42F2" w14:textId="77777777" w:rsidR="00152C8A" w:rsidRPr="003C6898" w:rsidRDefault="00152C8A" w:rsidP="00ED581E">
            <w:pPr>
              <w:rPr>
                <w:sz w:val="22"/>
                <w:szCs w:val="24"/>
              </w:rPr>
            </w:pPr>
            <w:r w:rsidRPr="003C6898">
              <w:rPr>
                <w:sz w:val="22"/>
                <w:szCs w:val="24"/>
              </w:rPr>
              <w:t>AAAGTACGCACCACTTTACGCA</w:t>
            </w:r>
          </w:p>
        </w:tc>
        <w:tc>
          <w:tcPr>
            <w:tcW w:w="1555" w:type="dxa"/>
            <w:tcMar>
              <w:left w:w="108" w:type="dxa"/>
              <w:right w:w="108" w:type="dxa"/>
            </w:tcMar>
            <w:vAlign w:val="bottom"/>
          </w:tcPr>
          <w:p w14:paraId="7830FCB3" w14:textId="77777777" w:rsidR="00152C8A" w:rsidRPr="003C6898" w:rsidRDefault="00152C8A" w:rsidP="00ED581E">
            <w:pPr>
              <w:rPr>
                <w:sz w:val="22"/>
                <w:szCs w:val="24"/>
              </w:rPr>
            </w:pPr>
            <w:r w:rsidRPr="003C6898">
              <w:rPr>
                <w:sz w:val="22"/>
                <w:szCs w:val="24"/>
              </w:rPr>
              <w:t>4283- 4304</w:t>
            </w:r>
          </w:p>
        </w:tc>
        <w:tc>
          <w:tcPr>
            <w:tcW w:w="1564" w:type="dxa"/>
            <w:vMerge w:val="restart"/>
            <w:tcMar>
              <w:left w:w="108" w:type="dxa"/>
              <w:right w:w="108" w:type="dxa"/>
            </w:tcMar>
            <w:vAlign w:val="center"/>
          </w:tcPr>
          <w:p w14:paraId="0A5B677A" w14:textId="77777777" w:rsidR="00152C8A" w:rsidRPr="003C6898" w:rsidRDefault="00152C8A" w:rsidP="00ED581E">
            <w:pPr>
              <w:rPr>
                <w:sz w:val="22"/>
                <w:szCs w:val="24"/>
              </w:rPr>
            </w:pPr>
            <w:r w:rsidRPr="003C6898">
              <w:rPr>
                <w:sz w:val="22"/>
                <w:szCs w:val="24"/>
              </w:rPr>
              <w:t>3045</w:t>
            </w:r>
          </w:p>
        </w:tc>
      </w:tr>
      <w:tr w:rsidR="00152C8A" w:rsidRPr="003C6898" w14:paraId="62CA5B2F" w14:textId="77777777" w:rsidTr="00ED581E">
        <w:trPr>
          <w:trHeight w:val="315"/>
        </w:trPr>
        <w:tc>
          <w:tcPr>
            <w:tcW w:w="709" w:type="dxa"/>
            <w:vMerge/>
            <w:vAlign w:val="center"/>
          </w:tcPr>
          <w:p w14:paraId="032A410C" w14:textId="77777777" w:rsidR="00152C8A" w:rsidRPr="003C6898" w:rsidRDefault="00152C8A" w:rsidP="00ED581E">
            <w:pPr>
              <w:rPr>
                <w:sz w:val="22"/>
                <w:szCs w:val="24"/>
              </w:rPr>
            </w:pPr>
          </w:p>
        </w:tc>
        <w:tc>
          <w:tcPr>
            <w:tcW w:w="2268" w:type="dxa"/>
            <w:tcMar>
              <w:left w:w="108" w:type="dxa"/>
              <w:right w:w="108" w:type="dxa"/>
            </w:tcMar>
            <w:vAlign w:val="bottom"/>
          </w:tcPr>
          <w:p w14:paraId="070E0FF4" w14:textId="77777777" w:rsidR="00152C8A" w:rsidRPr="003C6898" w:rsidRDefault="00152C8A" w:rsidP="00ED581E">
            <w:pPr>
              <w:rPr>
                <w:sz w:val="22"/>
                <w:szCs w:val="24"/>
              </w:rPr>
            </w:pPr>
            <w:r w:rsidRPr="003C6898">
              <w:rPr>
                <w:sz w:val="22"/>
                <w:szCs w:val="24"/>
              </w:rPr>
              <w:t>EV_D68-F3_Rev</w:t>
            </w:r>
          </w:p>
        </w:tc>
        <w:tc>
          <w:tcPr>
            <w:tcW w:w="4394" w:type="dxa"/>
            <w:tcMar>
              <w:left w:w="108" w:type="dxa"/>
              <w:right w:w="108" w:type="dxa"/>
            </w:tcMar>
            <w:vAlign w:val="bottom"/>
          </w:tcPr>
          <w:p w14:paraId="4186A5A9" w14:textId="77777777" w:rsidR="00152C8A" w:rsidRPr="003C6898" w:rsidRDefault="00152C8A" w:rsidP="00ED581E">
            <w:pPr>
              <w:rPr>
                <w:sz w:val="22"/>
                <w:szCs w:val="24"/>
              </w:rPr>
            </w:pPr>
            <w:r w:rsidRPr="003C6898">
              <w:rPr>
                <w:sz w:val="22"/>
                <w:szCs w:val="24"/>
              </w:rPr>
              <w:t>CCAAGTGGCCAAAATTTACC</w:t>
            </w:r>
          </w:p>
        </w:tc>
        <w:tc>
          <w:tcPr>
            <w:tcW w:w="1555" w:type="dxa"/>
            <w:tcMar>
              <w:left w:w="108" w:type="dxa"/>
              <w:right w:w="108" w:type="dxa"/>
            </w:tcMar>
            <w:vAlign w:val="bottom"/>
          </w:tcPr>
          <w:p w14:paraId="658E20B2" w14:textId="77777777" w:rsidR="00152C8A" w:rsidRPr="003C6898" w:rsidRDefault="00152C8A" w:rsidP="00ED581E">
            <w:pPr>
              <w:rPr>
                <w:sz w:val="22"/>
                <w:szCs w:val="24"/>
              </w:rPr>
            </w:pPr>
            <w:r w:rsidRPr="003C6898">
              <w:rPr>
                <w:sz w:val="22"/>
                <w:szCs w:val="24"/>
              </w:rPr>
              <w:t>7309- 7328</w:t>
            </w:r>
          </w:p>
        </w:tc>
        <w:tc>
          <w:tcPr>
            <w:tcW w:w="1564" w:type="dxa"/>
            <w:vMerge/>
            <w:vAlign w:val="center"/>
          </w:tcPr>
          <w:p w14:paraId="18893531" w14:textId="77777777" w:rsidR="00152C8A" w:rsidRPr="003C6898" w:rsidRDefault="00152C8A" w:rsidP="00ED581E">
            <w:pPr>
              <w:rPr>
                <w:sz w:val="22"/>
                <w:szCs w:val="24"/>
              </w:rPr>
            </w:pPr>
          </w:p>
        </w:tc>
      </w:tr>
      <w:tr w:rsidR="00152C8A" w:rsidRPr="003C6898" w14:paraId="45B02BDD" w14:textId="77777777" w:rsidTr="00ED581E">
        <w:trPr>
          <w:trHeight w:val="300"/>
        </w:trPr>
        <w:tc>
          <w:tcPr>
            <w:tcW w:w="10490" w:type="dxa"/>
            <w:gridSpan w:val="5"/>
            <w:tcMar>
              <w:left w:w="108" w:type="dxa"/>
              <w:right w:w="108" w:type="dxa"/>
            </w:tcMar>
            <w:vAlign w:val="center"/>
          </w:tcPr>
          <w:p w14:paraId="081917BC" w14:textId="77777777" w:rsidR="00152C8A" w:rsidRPr="003C6898" w:rsidRDefault="00152C8A" w:rsidP="00ED581E">
            <w:pPr>
              <w:rPr>
                <w:sz w:val="22"/>
                <w:szCs w:val="24"/>
              </w:rPr>
            </w:pPr>
            <w:r w:rsidRPr="003C6898">
              <w:rPr>
                <w:sz w:val="22"/>
                <w:szCs w:val="24"/>
              </w:rPr>
              <w:t>*Relative position to Enterovirus D68 (EV-D68) isolate NY328 (</w:t>
            </w:r>
            <w:proofErr w:type="spellStart"/>
            <w:r w:rsidRPr="003C6898">
              <w:rPr>
                <w:sz w:val="22"/>
                <w:szCs w:val="24"/>
              </w:rPr>
              <w:t>GenBank</w:t>
            </w:r>
            <w:proofErr w:type="spellEnd"/>
            <w:r w:rsidRPr="003C6898">
              <w:rPr>
                <w:sz w:val="22"/>
                <w:szCs w:val="24"/>
              </w:rPr>
              <w:t>: KP745766.1)</w:t>
            </w:r>
          </w:p>
        </w:tc>
      </w:tr>
    </w:tbl>
    <w:p w14:paraId="128F8957" w14:textId="77777777" w:rsidR="00152C8A" w:rsidRDefault="00152C8A" w:rsidP="00152C8A">
      <w:pPr>
        <w:pStyle w:val="BodyTextFirstIndent"/>
        <w:ind w:firstLine="0"/>
      </w:pPr>
    </w:p>
    <w:p w14:paraId="27949018" w14:textId="24CE9597" w:rsidR="00152C8A" w:rsidRPr="00152C8A" w:rsidRDefault="00152C8A" w:rsidP="00152C8A">
      <w:pPr>
        <w:pStyle w:val="Caption"/>
        <w:keepNext/>
        <w:rPr>
          <w:b/>
          <w:i w:val="0"/>
          <w:color w:val="auto"/>
          <w:sz w:val="24"/>
          <w:szCs w:val="24"/>
        </w:rPr>
      </w:pPr>
      <w:r w:rsidRPr="00152C8A">
        <w:rPr>
          <w:b/>
          <w:i w:val="0"/>
          <w:color w:val="auto"/>
          <w:sz w:val="24"/>
          <w:szCs w:val="24"/>
        </w:rPr>
        <w:t xml:space="preserve">Table </w:t>
      </w:r>
      <w:r w:rsidR="00ED4D7B">
        <w:rPr>
          <w:b/>
          <w:i w:val="0"/>
          <w:color w:val="auto"/>
          <w:sz w:val="24"/>
          <w:szCs w:val="24"/>
        </w:rPr>
        <w:t>S</w:t>
      </w:r>
      <w:r w:rsidR="00ED4D7B" w:rsidRPr="00152C8A">
        <w:rPr>
          <w:b/>
          <w:i w:val="0"/>
          <w:color w:val="auto"/>
          <w:sz w:val="24"/>
          <w:szCs w:val="24"/>
        </w:rPr>
        <w:fldChar w:fldCharType="begin"/>
      </w:r>
      <w:r w:rsidR="00ED4D7B" w:rsidRPr="00152C8A">
        <w:rPr>
          <w:b/>
          <w:i w:val="0"/>
          <w:color w:val="auto"/>
          <w:sz w:val="24"/>
          <w:szCs w:val="24"/>
        </w:rPr>
        <w:instrText xml:space="preserve"> SEQ Table \* ARABIC </w:instrText>
      </w:r>
      <w:r w:rsidR="00ED4D7B" w:rsidRPr="00152C8A">
        <w:rPr>
          <w:b/>
          <w:i w:val="0"/>
          <w:color w:val="auto"/>
          <w:sz w:val="24"/>
          <w:szCs w:val="24"/>
        </w:rPr>
        <w:fldChar w:fldCharType="separate"/>
      </w:r>
      <w:r w:rsidR="00ED4D7B" w:rsidRPr="00152C8A">
        <w:rPr>
          <w:b/>
          <w:i w:val="0"/>
          <w:color w:val="auto"/>
          <w:sz w:val="24"/>
          <w:szCs w:val="24"/>
        </w:rPr>
        <w:t>2</w:t>
      </w:r>
      <w:r w:rsidR="00ED4D7B" w:rsidRPr="00152C8A">
        <w:rPr>
          <w:b/>
          <w:i w:val="0"/>
          <w:color w:val="auto"/>
          <w:sz w:val="24"/>
          <w:szCs w:val="24"/>
        </w:rPr>
        <w:fldChar w:fldCharType="end"/>
      </w:r>
      <w:r w:rsidRPr="00152C8A">
        <w:rPr>
          <w:b/>
          <w:i w:val="0"/>
          <w:color w:val="auto"/>
          <w:sz w:val="24"/>
          <w:szCs w:val="24"/>
        </w:rPr>
        <w:t>: Common Parameter Priors used in Birth-Death Skyline Serial Models</w:t>
      </w:r>
    </w:p>
    <w:tbl>
      <w:tblPr>
        <w:tblStyle w:val="TableGrid"/>
        <w:tblW w:w="9351" w:type="dxa"/>
        <w:tblLook w:val="04A0" w:firstRow="1" w:lastRow="0" w:firstColumn="1" w:lastColumn="0" w:noHBand="0" w:noVBand="1"/>
      </w:tblPr>
      <w:tblGrid>
        <w:gridCol w:w="3964"/>
        <w:gridCol w:w="1985"/>
        <w:gridCol w:w="1701"/>
        <w:gridCol w:w="1701"/>
      </w:tblGrid>
      <w:tr w:rsidR="00152C8A" w14:paraId="3358ADF4" w14:textId="77777777" w:rsidTr="00ED581E">
        <w:tc>
          <w:tcPr>
            <w:tcW w:w="3964" w:type="dxa"/>
          </w:tcPr>
          <w:p w14:paraId="0968B91F" w14:textId="77777777" w:rsidR="00152C8A" w:rsidRDefault="00152C8A" w:rsidP="00ED581E">
            <w:r>
              <w:t>Parameter description</w:t>
            </w:r>
          </w:p>
        </w:tc>
        <w:tc>
          <w:tcPr>
            <w:tcW w:w="1985" w:type="dxa"/>
          </w:tcPr>
          <w:p w14:paraId="119289EB" w14:textId="77777777" w:rsidR="00152C8A" w:rsidRDefault="00152C8A" w:rsidP="00ED581E">
            <w:r>
              <w:t>Distribution</w:t>
            </w:r>
          </w:p>
        </w:tc>
        <w:tc>
          <w:tcPr>
            <w:tcW w:w="1701" w:type="dxa"/>
          </w:tcPr>
          <w:p w14:paraId="3DC1C3EE" w14:textId="77777777" w:rsidR="00152C8A" w:rsidRDefault="00152C8A" w:rsidP="00ED581E">
            <w:r>
              <w:t>Distribution Value 1</w:t>
            </w:r>
          </w:p>
        </w:tc>
        <w:tc>
          <w:tcPr>
            <w:tcW w:w="1701" w:type="dxa"/>
          </w:tcPr>
          <w:p w14:paraId="4D8646D8" w14:textId="77777777" w:rsidR="00152C8A" w:rsidRDefault="00152C8A" w:rsidP="00ED581E">
            <w:r>
              <w:t>Distribution Value 2</w:t>
            </w:r>
          </w:p>
        </w:tc>
      </w:tr>
      <w:tr w:rsidR="00152C8A" w14:paraId="6047027D" w14:textId="77777777" w:rsidTr="00ED581E">
        <w:tc>
          <w:tcPr>
            <w:tcW w:w="3964" w:type="dxa"/>
          </w:tcPr>
          <w:p w14:paraId="6C16292D" w14:textId="77777777" w:rsidR="00152C8A" w:rsidRDefault="00152C8A" w:rsidP="00ED581E">
            <w:proofErr w:type="spellStart"/>
            <w:r>
              <w:t>Optimised</w:t>
            </w:r>
            <w:proofErr w:type="spellEnd"/>
            <w:r>
              <w:t xml:space="preserve"> lognormal relaxed clock rates.</w:t>
            </w:r>
          </w:p>
        </w:tc>
        <w:tc>
          <w:tcPr>
            <w:tcW w:w="1985" w:type="dxa"/>
          </w:tcPr>
          <w:p w14:paraId="2936A4C0" w14:textId="77777777" w:rsidR="00152C8A" w:rsidRDefault="00152C8A" w:rsidP="00ED581E">
            <w:r>
              <w:t>Lognormal (mean in real space)</w:t>
            </w:r>
          </w:p>
        </w:tc>
        <w:tc>
          <w:tcPr>
            <w:tcW w:w="1701" w:type="dxa"/>
          </w:tcPr>
          <w:p w14:paraId="305B27E7" w14:textId="77777777" w:rsidR="00152C8A" w:rsidRDefault="00152C8A" w:rsidP="00ED581E">
            <w:r>
              <w:t>Mean = 1.0</w:t>
            </w:r>
          </w:p>
        </w:tc>
        <w:tc>
          <w:tcPr>
            <w:tcW w:w="1701" w:type="dxa"/>
          </w:tcPr>
          <w:p w14:paraId="34168DB4" w14:textId="77777777" w:rsidR="00152C8A" w:rsidRDefault="00152C8A" w:rsidP="00ED581E">
            <w:r>
              <w:t>S.D. = 0.2</w:t>
            </w:r>
          </w:p>
        </w:tc>
      </w:tr>
      <w:tr w:rsidR="001A1133" w14:paraId="3349A1CA" w14:textId="77777777" w:rsidTr="00ED581E">
        <w:tc>
          <w:tcPr>
            <w:tcW w:w="3964" w:type="dxa"/>
          </w:tcPr>
          <w:p w14:paraId="1F3755EC" w14:textId="77777777" w:rsidR="001A1133" w:rsidRDefault="001A1133" w:rsidP="001A1133">
            <w:proofErr w:type="spellStart"/>
            <w:r>
              <w:t>Optimised</w:t>
            </w:r>
            <w:proofErr w:type="spellEnd"/>
            <w:r>
              <w:t xml:space="preserve"> lognormal relaxed clock standard deviation.</w:t>
            </w:r>
          </w:p>
        </w:tc>
        <w:tc>
          <w:tcPr>
            <w:tcW w:w="1985" w:type="dxa"/>
          </w:tcPr>
          <w:p w14:paraId="28E7F06A" w14:textId="18CDCA44" w:rsidR="001A1133" w:rsidRDefault="00883DD1" w:rsidP="001A1133">
            <w:r>
              <w:t>Gamma</w:t>
            </w:r>
          </w:p>
        </w:tc>
        <w:tc>
          <w:tcPr>
            <w:tcW w:w="1701" w:type="dxa"/>
          </w:tcPr>
          <w:p w14:paraId="64FED664" w14:textId="04D461DC" w:rsidR="001A1133" w:rsidRDefault="00883DD1" w:rsidP="00883DD1">
            <w:r>
              <w:t>shape</w:t>
            </w:r>
            <w:r w:rsidR="001A1133">
              <w:t xml:space="preserve"> = </w:t>
            </w:r>
            <w:r>
              <w:t>5</w:t>
            </w:r>
          </w:p>
        </w:tc>
        <w:tc>
          <w:tcPr>
            <w:tcW w:w="1701" w:type="dxa"/>
          </w:tcPr>
          <w:p w14:paraId="1F73A9E6" w14:textId="656173C3" w:rsidR="001A1133" w:rsidRDefault="00883DD1" w:rsidP="001A1133">
            <w:r>
              <w:t>scale = 0.05</w:t>
            </w:r>
          </w:p>
        </w:tc>
      </w:tr>
      <w:tr w:rsidR="00152C8A" w14:paraId="52581D3D" w14:textId="77777777" w:rsidTr="00ED581E">
        <w:tc>
          <w:tcPr>
            <w:tcW w:w="3964" w:type="dxa"/>
          </w:tcPr>
          <w:p w14:paraId="2AD095EE" w14:textId="77777777" w:rsidR="00152C8A" w:rsidRDefault="00152C8A" w:rsidP="00ED581E">
            <w:proofErr w:type="spellStart"/>
            <w:r>
              <w:t>Optimised</w:t>
            </w:r>
            <w:proofErr w:type="spellEnd"/>
            <w:r>
              <w:t xml:space="preserve"> lognormal relaxed clock mean.</w:t>
            </w:r>
          </w:p>
        </w:tc>
        <w:tc>
          <w:tcPr>
            <w:tcW w:w="1985" w:type="dxa"/>
          </w:tcPr>
          <w:p w14:paraId="1F14933F" w14:textId="3301DA7A" w:rsidR="00152C8A" w:rsidRDefault="00152C8A" w:rsidP="00ED581E">
            <w:r>
              <w:t>Lognormal</w:t>
            </w:r>
            <w:r w:rsidR="001A1133">
              <w:t xml:space="preserve"> (mean in real space)</w:t>
            </w:r>
          </w:p>
        </w:tc>
        <w:tc>
          <w:tcPr>
            <w:tcW w:w="1701" w:type="dxa"/>
          </w:tcPr>
          <w:p w14:paraId="73618BCF" w14:textId="78E06F67" w:rsidR="00152C8A" w:rsidRDefault="00152C8A" w:rsidP="001A1133">
            <w:r>
              <w:t xml:space="preserve">Mean = </w:t>
            </w:r>
            <w:r w:rsidR="001A1133">
              <w:t>0.003</w:t>
            </w:r>
          </w:p>
        </w:tc>
        <w:tc>
          <w:tcPr>
            <w:tcW w:w="1701" w:type="dxa"/>
          </w:tcPr>
          <w:p w14:paraId="003D7FAF" w14:textId="551EAFAA" w:rsidR="00152C8A" w:rsidRDefault="00152C8A" w:rsidP="001A1133">
            <w:r>
              <w:t>S.D. = 1</w:t>
            </w:r>
          </w:p>
        </w:tc>
      </w:tr>
      <w:tr w:rsidR="00152C8A" w14:paraId="3A0C8381" w14:textId="77777777" w:rsidTr="00ED581E">
        <w:tc>
          <w:tcPr>
            <w:tcW w:w="3964" w:type="dxa"/>
          </w:tcPr>
          <w:p w14:paraId="19667DA3" w14:textId="77777777" w:rsidR="00152C8A" w:rsidRDefault="00152C8A" w:rsidP="00ED581E">
            <w:r>
              <w:t>Prior on gamma shape</w:t>
            </w:r>
          </w:p>
        </w:tc>
        <w:tc>
          <w:tcPr>
            <w:tcW w:w="1985" w:type="dxa"/>
          </w:tcPr>
          <w:p w14:paraId="0BEE9B3A" w14:textId="77777777" w:rsidR="00152C8A" w:rsidRDefault="00152C8A" w:rsidP="00ED581E">
            <w:r>
              <w:t>Lognormal</w:t>
            </w:r>
          </w:p>
        </w:tc>
        <w:tc>
          <w:tcPr>
            <w:tcW w:w="1701" w:type="dxa"/>
          </w:tcPr>
          <w:p w14:paraId="5BC5BEB6" w14:textId="77777777" w:rsidR="00152C8A" w:rsidRDefault="00152C8A" w:rsidP="00ED581E">
            <w:r>
              <w:t>Mean = 1.0</w:t>
            </w:r>
          </w:p>
        </w:tc>
        <w:tc>
          <w:tcPr>
            <w:tcW w:w="1701" w:type="dxa"/>
          </w:tcPr>
          <w:p w14:paraId="4C322043" w14:textId="77777777" w:rsidR="00152C8A" w:rsidRDefault="00152C8A" w:rsidP="00ED581E">
            <w:r>
              <w:t>S.D. = 1.25</w:t>
            </w:r>
          </w:p>
        </w:tc>
      </w:tr>
      <w:tr w:rsidR="00152C8A" w14:paraId="45AFC16F" w14:textId="77777777" w:rsidTr="00ED581E">
        <w:tc>
          <w:tcPr>
            <w:tcW w:w="3964" w:type="dxa"/>
          </w:tcPr>
          <w:p w14:paraId="0D1DCB8D" w14:textId="77777777" w:rsidR="00152C8A" w:rsidRDefault="00152C8A" w:rsidP="00ED581E">
            <w:r>
              <w:t>HKY transition-</w:t>
            </w:r>
            <w:proofErr w:type="spellStart"/>
            <w:r>
              <w:t>transversion</w:t>
            </w:r>
            <w:proofErr w:type="spellEnd"/>
          </w:p>
        </w:tc>
        <w:tc>
          <w:tcPr>
            <w:tcW w:w="1985" w:type="dxa"/>
          </w:tcPr>
          <w:p w14:paraId="4B1691FA" w14:textId="77777777" w:rsidR="00152C8A" w:rsidRDefault="00152C8A" w:rsidP="00ED581E">
            <w:r>
              <w:t>Lognormal</w:t>
            </w:r>
          </w:p>
        </w:tc>
        <w:tc>
          <w:tcPr>
            <w:tcW w:w="1701" w:type="dxa"/>
          </w:tcPr>
          <w:p w14:paraId="3BEAEEAD" w14:textId="77777777" w:rsidR="00152C8A" w:rsidRDefault="00152C8A" w:rsidP="00ED581E">
            <w:r>
              <w:t>Mean = 1.0</w:t>
            </w:r>
          </w:p>
        </w:tc>
        <w:tc>
          <w:tcPr>
            <w:tcW w:w="1701" w:type="dxa"/>
          </w:tcPr>
          <w:p w14:paraId="3ED327EF" w14:textId="77777777" w:rsidR="00152C8A" w:rsidRDefault="00152C8A" w:rsidP="00ED581E">
            <w:r>
              <w:t>S.D. = 1.25</w:t>
            </w:r>
          </w:p>
        </w:tc>
      </w:tr>
      <w:tr w:rsidR="00152C8A" w14:paraId="0D3182F3" w14:textId="77777777" w:rsidTr="00ED581E">
        <w:tc>
          <w:tcPr>
            <w:tcW w:w="3964" w:type="dxa"/>
          </w:tcPr>
          <w:p w14:paraId="029C8F5A" w14:textId="77777777" w:rsidR="00152C8A" w:rsidRDefault="00152C8A" w:rsidP="00ED581E">
            <w:r>
              <w:t>Origin</w:t>
            </w:r>
          </w:p>
        </w:tc>
        <w:tc>
          <w:tcPr>
            <w:tcW w:w="1985" w:type="dxa"/>
          </w:tcPr>
          <w:p w14:paraId="4B3422DF" w14:textId="77777777" w:rsidR="00152C8A" w:rsidRDefault="00152C8A" w:rsidP="00ED581E">
            <w:r>
              <w:t>Uniform</w:t>
            </w:r>
          </w:p>
        </w:tc>
        <w:tc>
          <w:tcPr>
            <w:tcW w:w="1701" w:type="dxa"/>
          </w:tcPr>
          <w:p w14:paraId="2A2AA12D" w14:textId="77777777" w:rsidR="00152C8A" w:rsidRDefault="00152C8A" w:rsidP="00ED581E">
            <w:r>
              <w:t>0.0</w:t>
            </w:r>
          </w:p>
        </w:tc>
        <w:tc>
          <w:tcPr>
            <w:tcW w:w="1701" w:type="dxa"/>
          </w:tcPr>
          <w:p w14:paraId="407615DD" w14:textId="77777777" w:rsidR="00152C8A" w:rsidRDefault="00152C8A" w:rsidP="00ED581E">
            <w:r>
              <w:t>20.0</w:t>
            </w:r>
          </w:p>
        </w:tc>
      </w:tr>
      <w:tr w:rsidR="00152C8A" w14:paraId="7E3CDB52" w14:textId="77777777" w:rsidTr="00ED581E">
        <w:tc>
          <w:tcPr>
            <w:tcW w:w="3964" w:type="dxa"/>
          </w:tcPr>
          <w:p w14:paraId="3F795894" w14:textId="77777777" w:rsidR="00152C8A" w:rsidRPr="001434E6" w:rsidRDefault="00152C8A" w:rsidP="00ED581E">
            <w:r>
              <w:t>Reproduction number (R</w:t>
            </w:r>
            <w:r>
              <w:rPr>
                <w:vertAlign w:val="subscript"/>
              </w:rPr>
              <w:t>e</w:t>
            </w:r>
            <w:r>
              <w:t>)</w:t>
            </w:r>
          </w:p>
        </w:tc>
        <w:tc>
          <w:tcPr>
            <w:tcW w:w="1985" w:type="dxa"/>
          </w:tcPr>
          <w:p w14:paraId="2D47F75D" w14:textId="77777777" w:rsidR="00152C8A" w:rsidRDefault="00152C8A" w:rsidP="00ED581E">
            <w:r>
              <w:t>Lognormal</w:t>
            </w:r>
          </w:p>
        </w:tc>
        <w:tc>
          <w:tcPr>
            <w:tcW w:w="1701" w:type="dxa"/>
          </w:tcPr>
          <w:p w14:paraId="3CE97D35" w14:textId="77777777" w:rsidR="00152C8A" w:rsidRDefault="00152C8A" w:rsidP="00ED581E">
            <w:r>
              <w:t>Mean = 0</w:t>
            </w:r>
          </w:p>
        </w:tc>
        <w:tc>
          <w:tcPr>
            <w:tcW w:w="1701" w:type="dxa"/>
          </w:tcPr>
          <w:p w14:paraId="64752C99" w14:textId="77777777" w:rsidR="00152C8A" w:rsidRDefault="00152C8A" w:rsidP="00ED581E">
            <w:r>
              <w:t>S.D. = 1.0</w:t>
            </w:r>
          </w:p>
        </w:tc>
      </w:tr>
      <w:tr w:rsidR="00152C8A" w14:paraId="4388493D" w14:textId="77777777" w:rsidTr="00ED581E">
        <w:tc>
          <w:tcPr>
            <w:tcW w:w="3964" w:type="dxa"/>
          </w:tcPr>
          <w:p w14:paraId="7FB6CEA6" w14:textId="77777777" w:rsidR="00152C8A" w:rsidRDefault="00152C8A" w:rsidP="00ED581E">
            <w:r>
              <w:t>Sampling proportion</w:t>
            </w:r>
          </w:p>
        </w:tc>
        <w:tc>
          <w:tcPr>
            <w:tcW w:w="1985" w:type="dxa"/>
          </w:tcPr>
          <w:p w14:paraId="2322ABDF" w14:textId="77777777" w:rsidR="00152C8A" w:rsidRDefault="00152C8A" w:rsidP="00ED581E">
            <w:r>
              <w:t>Beta</w:t>
            </w:r>
          </w:p>
        </w:tc>
        <w:tc>
          <w:tcPr>
            <w:tcW w:w="1701" w:type="dxa"/>
          </w:tcPr>
          <w:p w14:paraId="04283D57" w14:textId="77777777" w:rsidR="00152C8A" w:rsidRDefault="00152C8A" w:rsidP="00ED581E">
            <w:r>
              <w:rPr>
                <w:rFonts w:cs="Times New Roman"/>
              </w:rPr>
              <w:t xml:space="preserve">α </w:t>
            </w:r>
            <w:r>
              <w:t>= 1</w:t>
            </w:r>
          </w:p>
        </w:tc>
        <w:tc>
          <w:tcPr>
            <w:tcW w:w="1701" w:type="dxa"/>
          </w:tcPr>
          <w:p w14:paraId="16C5F658" w14:textId="77777777" w:rsidR="00152C8A" w:rsidRDefault="00152C8A" w:rsidP="00ED581E">
            <w:r>
              <w:rPr>
                <w:rFonts w:cs="Times New Roman"/>
              </w:rPr>
              <w:t>β</w:t>
            </w:r>
            <w:r>
              <w:t xml:space="preserve"> = 9999</w:t>
            </w:r>
          </w:p>
        </w:tc>
      </w:tr>
    </w:tbl>
    <w:p w14:paraId="5E6E76A2" w14:textId="77777777" w:rsidR="00152C8A" w:rsidRDefault="00152C8A" w:rsidP="00152C8A">
      <w:pPr>
        <w:pStyle w:val="Caption"/>
        <w:keepNext/>
        <w:rPr>
          <w:b/>
          <w:i w:val="0"/>
          <w:color w:val="auto"/>
          <w:sz w:val="24"/>
          <w:szCs w:val="24"/>
        </w:rPr>
      </w:pPr>
    </w:p>
    <w:p w14:paraId="33BA2236" w14:textId="77777777" w:rsidR="000D4273" w:rsidRDefault="000D4273" w:rsidP="000D4273">
      <w:r>
        <w:rPr>
          <w:noProof/>
          <w:lang w:val="en-CA" w:eastAsia="en-CA"/>
        </w:rPr>
        <w:drawing>
          <wp:inline distT="0" distB="0" distL="0" distR="0" wp14:anchorId="714075E2" wp14:editId="0AB96C6C">
            <wp:extent cx="5943600" cy="1955800"/>
            <wp:effectExtent l="0" t="0" r="0" b="6350"/>
            <wp:docPr id="3" name="Picture 3" descr="A graph of a normal distribu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aph of a normal distributio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955800"/>
                    </a:xfrm>
                    <a:prstGeom prst="rect">
                      <a:avLst/>
                    </a:prstGeom>
                  </pic:spPr>
                </pic:pic>
              </a:graphicData>
            </a:graphic>
          </wp:inline>
        </w:drawing>
      </w:r>
    </w:p>
    <w:p w14:paraId="70AE2177" w14:textId="77777777" w:rsidR="00496C4F" w:rsidRDefault="000D4273" w:rsidP="00ED4D7B">
      <w:pPr>
        <w:pStyle w:val="Heading1"/>
        <w:numPr>
          <w:ilvl w:val="0"/>
          <w:numId w:val="0"/>
        </w:numPr>
        <w:ind w:left="432" w:hanging="432"/>
        <w:rPr>
          <w:rFonts w:eastAsiaTheme="minorHAnsi" w:cstheme="minorBidi"/>
          <w:b w:val="0"/>
          <w:color w:val="auto"/>
          <w:sz w:val="24"/>
          <w:szCs w:val="22"/>
        </w:rPr>
      </w:pPr>
      <w:bookmarkStart w:id="2" w:name="_Ref146713500"/>
      <w:bookmarkStart w:id="3" w:name="_Ref146713494"/>
      <w:r w:rsidRPr="00E67C55">
        <w:rPr>
          <w:color w:val="auto"/>
          <w:sz w:val="24"/>
        </w:rPr>
        <w:t xml:space="preserve">Figure </w:t>
      </w:r>
      <w:r>
        <w:rPr>
          <w:b w:val="0"/>
          <w:i/>
          <w:color w:val="auto"/>
          <w:sz w:val="24"/>
        </w:rPr>
        <w:t>S</w:t>
      </w:r>
      <w:r w:rsidRPr="00E67C55">
        <w:rPr>
          <w:b w:val="0"/>
          <w:i/>
          <w:color w:val="auto"/>
          <w:sz w:val="24"/>
        </w:rPr>
        <w:fldChar w:fldCharType="begin"/>
      </w:r>
      <w:r w:rsidRPr="00E67C55">
        <w:rPr>
          <w:color w:val="auto"/>
          <w:sz w:val="24"/>
        </w:rPr>
        <w:instrText xml:space="preserve"> SEQ Figure \* ARABIC </w:instrText>
      </w:r>
      <w:r w:rsidRPr="00E67C55">
        <w:rPr>
          <w:b w:val="0"/>
          <w:i/>
          <w:color w:val="auto"/>
          <w:sz w:val="24"/>
        </w:rPr>
        <w:fldChar w:fldCharType="separate"/>
      </w:r>
      <w:r>
        <w:rPr>
          <w:noProof/>
          <w:color w:val="auto"/>
          <w:sz w:val="24"/>
        </w:rPr>
        <w:t>1</w:t>
      </w:r>
      <w:r w:rsidRPr="00E67C55">
        <w:rPr>
          <w:b w:val="0"/>
          <w:i/>
          <w:color w:val="auto"/>
          <w:sz w:val="24"/>
        </w:rPr>
        <w:fldChar w:fldCharType="end"/>
      </w:r>
      <w:bookmarkEnd w:id="2"/>
      <w:r w:rsidRPr="00E67C55">
        <w:rPr>
          <w:color w:val="auto"/>
          <w:sz w:val="24"/>
        </w:rPr>
        <w:t xml:space="preserve">: </w:t>
      </w:r>
      <w:r>
        <w:rPr>
          <w:color w:val="auto"/>
          <w:sz w:val="24"/>
        </w:rPr>
        <w:t>Prior used for Infection period (δ</w:t>
      </w:r>
      <w:r>
        <w:rPr>
          <w:color w:val="auto"/>
          <w:sz w:val="24"/>
          <w:vertAlign w:val="superscript"/>
        </w:rPr>
        <w:t>-1</w:t>
      </w:r>
      <w:r>
        <w:rPr>
          <w:color w:val="auto"/>
          <w:sz w:val="24"/>
        </w:rPr>
        <w:t xml:space="preserve">) or Rate of Becoming </w:t>
      </w:r>
      <w:proofErr w:type="spellStart"/>
      <w:r>
        <w:rPr>
          <w:color w:val="auto"/>
          <w:sz w:val="24"/>
        </w:rPr>
        <w:t>Uninfectious</w:t>
      </w:r>
      <w:proofErr w:type="spellEnd"/>
      <w:r>
        <w:rPr>
          <w:color w:val="auto"/>
          <w:sz w:val="24"/>
        </w:rPr>
        <w:t xml:space="preserve"> </w:t>
      </w:r>
      <w:r w:rsidRPr="00E67C55">
        <w:rPr>
          <w:color w:val="auto"/>
          <w:sz w:val="24"/>
        </w:rPr>
        <w:t>(δ).</w:t>
      </w:r>
      <w:bookmarkEnd w:id="3"/>
      <w:r>
        <w:rPr>
          <w:color w:val="auto"/>
          <w:sz w:val="24"/>
        </w:rPr>
        <w:t xml:space="preserve"> </w:t>
      </w:r>
      <w:r w:rsidRPr="004F45B6">
        <w:rPr>
          <w:color w:val="auto"/>
          <w:sz w:val="24"/>
        </w:rPr>
        <w:t xml:space="preserve">The mean </w:t>
      </w:r>
      <w:r>
        <w:rPr>
          <w:color w:val="auto"/>
          <w:sz w:val="24"/>
        </w:rPr>
        <w:t>infection period</w:t>
      </w:r>
      <w:r w:rsidRPr="004F45B6">
        <w:rPr>
          <w:color w:val="auto"/>
          <w:sz w:val="24"/>
        </w:rPr>
        <w:t xml:space="preserve"> (δ-1= 7 days) was inverted to become the rate of becoming </w:t>
      </w:r>
      <w:proofErr w:type="spellStart"/>
      <w:r w:rsidRPr="004F45B6">
        <w:rPr>
          <w:color w:val="auto"/>
          <w:sz w:val="24"/>
        </w:rPr>
        <w:t>uninfectious</w:t>
      </w:r>
      <w:proofErr w:type="spellEnd"/>
      <w:r w:rsidRPr="004F45B6">
        <w:rPr>
          <w:color w:val="auto"/>
          <w:sz w:val="24"/>
        </w:rPr>
        <w:t xml:space="preserve"> (δ, also called recovery rate) and converted to years (i.e. δ =1/7 days = 52 year</w:t>
      </w:r>
      <w:r w:rsidRPr="00496C4F">
        <w:rPr>
          <w:color w:val="auto"/>
          <w:sz w:val="24"/>
          <w:vertAlign w:val="superscript"/>
        </w:rPr>
        <w:t>-1</w:t>
      </w:r>
      <w:r w:rsidRPr="004F45B6">
        <w:rPr>
          <w:color w:val="auto"/>
          <w:sz w:val="24"/>
        </w:rPr>
        <w:t xml:space="preserve">). To produce gamma distributed prior </w:t>
      </w:r>
      <w:sdt>
        <w:sdtPr>
          <w:rPr>
            <w:i/>
            <w:color w:val="000000"/>
            <w:sz w:val="24"/>
            <w:vertAlign w:val="superscript"/>
          </w:rPr>
          <w:tag w:val="MENDELEY_CITATION_v3_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"/>
          <w:id w:val="-835302044"/>
          <w:placeholder>
            <w:docPart w:val="98E7A1C655B5426BA4CDD993811147A6"/>
          </w:placeholder>
        </w:sdtPr>
        <w:sdtEndPr>
          <w:rPr>
            <w:sz w:val="32"/>
          </w:rPr>
        </w:sdtEndPr>
        <w:sdtContent>
          <w:r w:rsidRPr="00317340">
            <w:rPr>
              <w:color w:val="000000"/>
              <w:vertAlign w:val="superscript"/>
            </w:rPr>
            <w:t>43</w:t>
          </w:r>
        </w:sdtContent>
      </w:sdt>
      <w:r w:rsidRPr="004F45B6">
        <w:rPr>
          <w:color w:val="auto"/>
          <w:sz w:val="24"/>
        </w:rPr>
        <w:t xml:space="preserve"> for δ, we used formulas </w:t>
      </w:r>
      <m:oMath>
        <m:r>
          <m:rPr>
            <m:sty m:val="bi"/>
          </m:rPr>
          <w:rPr>
            <w:rFonts w:ascii="Cambria Math" w:hAnsi="Cambria Math"/>
            <w:color w:val="auto"/>
            <w:sz w:val="24"/>
          </w:rPr>
          <m:t>shape=</m:t>
        </m:r>
        <m:f>
          <m:fPr>
            <m:ctrlPr>
              <w:rPr>
                <w:rFonts w:ascii="Cambria Math" w:hAnsi="Cambria Math"/>
                <w:color w:val="auto"/>
                <w:sz w:val="24"/>
              </w:rPr>
            </m:ctrlPr>
          </m:fPr>
          <m:num>
            <m:sSup>
              <m:sSupPr>
                <m:ctrlPr>
                  <w:rPr>
                    <w:rFonts w:ascii="Cambria Math" w:hAnsi="Cambria Math"/>
                    <w:color w:val="auto"/>
                    <w:sz w:val="24"/>
                  </w:rPr>
                </m:ctrlPr>
              </m:sSupPr>
              <m:e>
                <m:r>
                  <m:rPr>
                    <m:sty m:val="bi"/>
                  </m:rPr>
                  <w:rPr>
                    <w:rFonts w:ascii="Cambria Math" w:hAnsi="Cambria Math"/>
                    <w:color w:val="auto"/>
                    <w:sz w:val="24"/>
                  </w:rPr>
                  <m:t>mean</m:t>
                </m:r>
              </m:e>
              <m:sup>
                <m:r>
                  <m:rPr>
                    <m:sty m:val="bi"/>
                  </m:rPr>
                  <w:rPr>
                    <w:rFonts w:ascii="Cambria Math" w:hAnsi="Cambria Math"/>
                    <w:color w:val="auto"/>
                    <w:sz w:val="24"/>
                  </w:rPr>
                  <m:t>2</m:t>
                </m:r>
              </m:sup>
            </m:sSup>
          </m:num>
          <m:den>
            <m:r>
              <m:rPr>
                <m:sty m:val="bi"/>
              </m:rPr>
              <w:rPr>
                <w:rFonts w:ascii="Cambria Math" w:hAnsi="Cambria Math"/>
                <w:color w:val="auto"/>
                <w:sz w:val="24"/>
              </w:rPr>
              <m:t>variance</m:t>
            </m:r>
          </m:den>
        </m:f>
        <m:r>
          <m:rPr>
            <m:sty m:val="bi"/>
          </m:rPr>
          <w:rPr>
            <w:rFonts w:ascii="Cambria Math" w:hAnsi="Cambria Math"/>
            <w:color w:val="auto"/>
            <w:sz w:val="24"/>
          </w:rPr>
          <m:t>=12.018</m:t>
        </m:r>
      </m:oMath>
      <w:r w:rsidRPr="004F45B6">
        <w:rPr>
          <w:color w:val="auto"/>
          <w:sz w:val="24"/>
        </w:rPr>
        <w:t xml:space="preserve"> and </w:t>
      </w:r>
      <m:oMath>
        <m:r>
          <m:rPr>
            <m:sty m:val="bi"/>
          </m:rPr>
          <w:rPr>
            <w:rFonts w:ascii="Cambria Math" w:hAnsi="Cambria Math"/>
            <w:color w:val="auto"/>
            <w:sz w:val="24"/>
          </w:rPr>
          <m:t>scale=</m:t>
        </m:r>
        <m:f>
          <m:fPr>
            <m:ctrlPr>
              <w:rPr>
                <w:rFonts w:ascii="Cambria Math" w:hAnsi="Cambria Math"/>
                <w:color w:val="auto"/>
                <w:sz w:val="24"/>
              </w:rPr>
            </m:ctrlPr>
          </m:fPr>
          <m:num>
            <m:r>
              <m:rPr>
                <m:sty m:val="bi"/>
              </m:rPr>
              <w:rPr>
                <w:rFonts w:ascii="Cambria Math" w:hAnsi="Cambria Math"/>
                <w:color w:val="auto"/>
                <w:sz w:val="24"/>
              </w:rPr>
              <m:t>variance</m:t>
            </m:r>
          </m:num>
          <m:den>
            <m:r>
              <m:rPr>
                <m:sty m:val="bi"/>
              </m:rPr>
              <w:rPr>
                <w:rFonts w:ascii="Cambria Math" w:hAnsi="Cambria Math"/>
                <w:color w:val="auto"/>
                <w:sz w:val="24"/>
              </w:rPr>
              <m:t>mean</m:t>
            </m:r>
          </m:den>
        </m:f>
        <m:r>
          <m:rPr>
            <m:sty m:val="bi"/>
          </m:rPr>
          <w:rPr>
            <w:rFonts w:ascii="Cambria Math" w:hAnsi="Cambria Math"/>
            <w:color w:val="auto"/>
            <w:sz w:val="24"/>
          </w:rPr>
          <m:t>=4.3269</m:t>
        </m:r>
      </m:oMath>
      <w:r w:rsidRPr="004F45B6">
        <w:rPr>
          <w:color w:val="auto"/>
          <w:sz w:val="24"/>
        </w:rPr>
        <w:t xml:space="preserve"> with a standard deviation of 15 year</w:t>
      </w:r>
      <w:r w:rsidRPr="00496C4F">
        <w:rPr>
          <w:color w:val="auto"/>
          <w:sz w:val="24"/>
          <w:vertAlign w:val="superscript"/>
        </w:rPr>
        <w:t>-1</w:t>
      </w:r>
      <w:r w:rsidRPr="004F45B6">
        <w:rPr>
          <w:color w:val="auto"/>
          <w:sz w:val="24"/>
        </w:rPr>
        <w:t>.</w:t>
      </w:r>
    </w:p>
    <w:p w14:paraId="2A57F3DF" w14:textId="77777777" w:rsidR="00496C4F" w:rsidRDefault="00496C4F" w:rsidP="00ED4D7B">
      <w:pPr>
        <w:pStyle w:val="Heading1"/>
        <w:numPr>
          <w:ilvl w:val="0"/>
          <w:numId w:val="0"/>
        </w:numPr>
        <w:ind w:left="432" w:hanging="432"/>
        <w:rPr>
          <w:rFonts w:eastAsiaTheme="minorHAnsi" w:cstheme="minorBidi"/>
          <w:b w:val="0"/>
          <w:color w:val="auto"/>
          <w:sz w:val="24"/>
          <w:szCs w:val="22"/>
        </w:rPr>
      </w:pPr>
    </w:p>
    <w:p w14:paraId="707EB5CE" w14:textId="6346B343" w:rsidR="0051219A" w:rsidRDefault="00ED4D7B" w:rsidP="00ED4D7B">
      <w:pPr>
        <w:pStyle w:val="Heading1"/>
        <w:numPr>
          <w:ilvl w:val="0"/>
          <w:numId w:val="0"/>
        </w:numPr>
        <w:ind w:left="432" w:hanging="432"/>
        <w:rPr>
          <w:sz w:val="28"/>
        </w:rPr>
      </w:pPr>
      <w:r w:rsidRPr="00ED4D7B">
        <w:rPr>
          <w:sz w:val="28"/>
        </w:rPr>
        <w:t xml:space="preserve">2. </w:t>
      </w:r>
      <w:r w:rsidR="0051219A" w:rsidRPr="00ED4D7B">
        <w:rPr>
          <w:sz w:val="28"/>
        </w:rPr>
        <w:t>Results</w:t>
      </w:r>
    </w:p>
    <w:p w14:paraId="05D112D3" w14:textId="77777777" w:rsidR="00ED4D7B" w:rsidRPr="00C745C8" w:rsidRDefault="00ED4D7B" w:rsidP="00C745C8">
      <w:pPr>
        <w:pStyle w:val="BodyTextFirstIndent"/>
      </w:pPr>
    </w:p>
    <w:p w14:paraId="7CD98B1D" w14:textId="77777777" w:rsidR="00ED4D7B" w:rsidRPr="00ED4D7B" w:rsidRDefault="00ED4D7B" w:rsidP="00ED4D7B"/>
    <w:p w14:paraId="0831A0E1" w14:textId="2600D13F" w:rsidR="00AF5D3F" w:rsidRDefault="00D007AB" w:rsidP="00AF5D3F">
      <w:pPr>
        <w:keepNext/>
      </w:pPr>
      <w:r>
        <w:rPr>
          <w:noProof/>
          <w:lang w:val="en-CA" w:eastAsia="en-CA"/>
        </w:rPr>
        <w:lastRenderedPageBreak/>
        <w:drawing>
          <wp:inline distT="0" distB="0" distL="0" distR="0" wp14:anchorId="086832B6" wp14:editId="73FD45D3">
            <wp:extent cx="5943600" cy="26663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N-2022_DensiTree.png"/>
                    <pic:cNvPicPr/>
                  </pic:nvPicPr>
                  <pic:blipFill>
                    <a:blip r:embed="rId7">
                      <a:extLst>
                        <a:ext uri="{28A0092B-C50C-407E-A947-70E740481C1C}">
                          <a14:useLocalDpi xmlns:a14="http://schemas.microsoft.com/office/drawing/2010/main" val="0"/>
                        </a:ext>
                      </a:extLst>
                    </a:blip>
                    <a:stretch>
                      <a:fillRect/>
                    </a:stretch>
                  </pic:blipFill>
                  <pic:spPr>
                    <a:xfrm>
                      <a:off x="0" y="0"/>
                      <a:ext cx="5943600" cy="2666365"/>
                    </a:xfrm>
                    <a:prstGeom prst="rect">
                      <a:avLst/>
                    </a:prstGeom>
                  </pic:spPr>
                </pic:pic>
              </a:graphicData>
            </a:graphic>
          </wp:inline>
        </w:drawing>
      </w:r>
    </w:p>
    <w:p w14:paraId="72F57CC0" w14:textId="21B62BEB" w:rsidR="00AF5D3F" w:rsidRDefault="00AF5D3F" w:rsidP="00AF5D3F">
      <w:pPr>
        <w:pStyle w:val="Caption"/>
        <w:rPr>
          <w:b/>
          <w:i w:val="0"/>
          <w:color w:val="auto"/>
          <w:sz w:val="24"/>
          <w:szCs w:val="24"/>
        </w:rPr>
      </w:pPr>
      <w:r w:rsidRPr="00ED4D7B">
        <w:rPr>
          <w:b/>
          <w:i w:val="0"/>
          <w:color w:val="auto"/>
          <w:sz w:val="24"/>
          <w:szCs w:val="24"/>
        </w:rPr>
        <w:t xml:space="preserve">Figure </w:t>
      </w:r>
      <w:r w:rsidR="000D4273">
        <w:rPr>
          <w:b/>
          <w:i w:val="0"/>
          <w:color w:val="auto"/>
          <w:sz w:val="24"/>
          <w:szCs w:val="24"/>
        </w:rPr>
        <w:t>S2</w:t>
      </w:r>
      <w:r w:rsidRPr="00ED4D7B">
        <w:rPr>
          <w:b/>
          <w:i w:val="0"/>
          <w:color w:val="auto"/>
          <w:sz w:val="24"/>
          <w:szCs w:val="24"/>
        </w:rPr>
        <w:t xml:space="preserve">: </w:t>
      </w:r>
      <w:r w:rsidR="003A50E5" w:rsidRPr="00ED4D7B">
        <w:rPr>
          <w:b/>
          <w:i w:val="0"/>
          <w:color w:val="auto"/>
          <w:sz w:val="24"/>
          <w:szCs w:val="24"/>
        </w:rPr>
        <w:t xml:space="preserve">Summery tree plot of combined files from 3 runs of best performing BDSS model fitted to </w:t>
      </w:r>
      <w:r w:rsidRPr="00ED4D7B">
        <w:rPr>
          <w:b/>
          <w:i w:val="0"/>
          <w:color w:val="auto"/>
          <w:sz w:val="24"/>
          <w:szCs w:val="24"/>
        </w:rPr>
        <w:t>ON-2022</w:t>
      </w:r>
      <w:r w:rsidR="003A50E5" w:rsidRPr="00ED4D7B">
        <w:rPr>
          <w:b/>
          <w:i w:val="0"/>
          <w:color w:val="auto"/>
          <w:sz w:val="24"/>
          <w:szCs w:val="24"/>
        </w:rPr>
        <w:t xml:space="preserve"> dataset</w:t>
      </w:r>
      <w:r w:rsidRPr="00ED4D7B">
        <w:rPr>
          <w:b/>
          <w:i w:val="0"/>
          <w:color w:val="auto"/>
          <w:sz w:val="24"/>
          <w:szCs w:val="24"/>
        </w:rPr>
        <w:t xml:space="preserve">. Plot produced using </w:t>
      </w:r>
      <w:proofErr w:type="spellStart"/>
      <w:r w:rsidRPr="00ED4D7B">
        <w:rPr>
          <w:b/>
          <w:i w:val="0"/>
          <w:color w:val="auto"/>
          <w:sz w:val="24"/>
          <w:szCs w:val="24"/>
        </w:rPr>
        <w:t>Densitree</w:t>
      </w:r>
      <w:proofErr w:type="spellEnd"/>
      <w:r w:rsidRPr="00ED4D7B">
        <w:rPr>
          <w:b/>
          <w:i w:val="0"/>
          <w:color w:val="auto"/>
          <w:sz w:val="24"/>
          <w:szCs w:val="24"/>
        </w:rPr>
        <w:t xml:space="preserve"> </w:t>
      </w:r>
      <w:r w:rsidRPr="00ED4D7B">
        <w:rPr>
          <w:b/>
          <w:i w:val="0"/>
          <w:color w:val="auto"/>
          <w:sz w:val="24"/>
          <w:szCs w:val="24"/>
        </w:rPr>
        <w:fldChar w:fldCharType="begin" w:fldLock="1"/>
      </w:r>
      <w:r w:rsidR="00D007AB" w:rsidRPr="00ED4D7B">
        <w:rPr>
          <w:b/>
          <w:i w:val="0"/>
          <w:color w:val="auto"/>
          <w:sz w:val="24"/>
          <w:szCs w:val="24"/>
        </w:rPr>
        <w:instrText>ADDIN CSL_CITATION {"citationItems":[{"id":"ITEM-1","itemData":{"DOI":"10.1093/bioinformatics/btq110","ISSN":"13674803","PMID":"20228129","abstract":"Motivation: Bayesian analysis through programs like BEAST (Drummond and Rumbaut, 2007) and MrBayes (Huelsenbeck et al., 2001) provides a powerful method for reconstruction of evolutionary relationships. One of the benefits of Bayesian methods is that wellfounded estimates of uncertainty in models can be made available. So, for example, not only the mean time of a most recent common ancestor (tMRCA) is estimated, but also the spread. This distribution over model space is represented by a set of trees, which can be rather large and difficult to interpret. DensiTree is a tool that helps navigating these sets of trees. Results: The main idea behind DensiTree is to draw all trees in the set transparently. As a result, areas where a lot of the trees agree in topology and branch lengths show up as highly colored areas, while areas with little agreement show up as webs. This makes it possible to quickly get an impression of properties of the tree set such as well-supported clades, distribution of tMRCA and areas of topological uncertainty. Thus, DensiTree provides a quick method for qualitative analysis of tree sets. Availability: DensiTree is freely available from http://compevol.auckland.ac.nz/software/DensiTree/. The program is licensed under GPL and source code is available. Contact: remco@cs.auckland.ac.nz. © The Author 2010. Published by Oxford University Press. All rights reserved. For Permissions, please email: journals.permissions@oxfordjournals.org.","author":[{"dropping-particle":"","family":"Bouckaert","given":"Remco R.","non-dropping-particle":"","parse-names":false,"suffix":""}],"container-title":"Bioinformatics","id":"ITEM-1","issue":"10","issued":{"date-parts":[["2010","5","15"]]},"page":"1372-1373","publisher":"Oxford Academic","title":"DensiTree: Making sense of sets of phylogenetic trees","type":"article-journal","volume":"26"},"uris":["http://www.mendeley.com/documents/?uuid=bc6bd1ca-90a3-301f-ae93-32c33f5ea81b"]}],"mendeley":{"formattedCitation":"(Bouckaert 2010)","plainTextFormattedCitation":"(Bouckaert 2010)","previouslyFormattedCitation":"(Bouckaert 2010)"},"properties":{"noteIndex":0},"schema":"https://github.com/citation-style-language/schema/raw/master/csl-citation.json"}</w:instrText>
      </w:r>
      <w:r w:rsidRPr="00ED4D7B">
        <w:rPr>
          <w:b/>
          <w:i w:val="0"/>
          <w:color w:val="auto"/>
          <w:sz w:val="24"/>
          <w:szCs w:val="24"/>
        </w:rPr>
        <w:fldChar w:fldCharType="separate"/>
      </w:r>
      <w:r w:rsidRPr="00ED4D7B">
        <w:rPr>
          <w:b/>
          <w:i w:val="0"/>
          <w:color w:val="auto"/>
          <w:sz w:val="24"/>
          <w:szCs w:val="24"/>
        </w:rPr>
        <w:t>(Bouckaert 2010)</w:t>
      </w:r>
      <w:r w:rsidRPr="00ED4D7B">
        <w:rPr>
          <w:b/>
          <w:i w:val="0"/>
          <w:color w:val="auto"/>
          <w:sz w:val="24"/>
          <w:szCs w:val="24"/>
        </w:rPr>
        <w:fldChar w:fldCharType="end"/>
      </w:r>
      <w:r w:rsidR="003A50E5" w:rsidRPr="00ED4D7B">
        <w:rPr>
          <w:b/>
          <w:i w:val="0"/>
          <w:color w:val="auto"/>
          <w:sz w:val="24"/>
          <w:szCs w:val="24"/>
        </w:rPr>
        <w:t>. Summery root canal tree is in blue.</w:t>
      </w:r>
    </w:p>
    <w:p w14:paraId="40BAC35B" w14:textId="77777777" w:rsidR="00ED4D7B" w:rsidRPr="00ED4D7B" w:rsidRDefault="00ED4D7B" w:rsidP="00ED4D7B"/>
    <w:p w14:paraId="1F8EB8C7" w14:textId="207B4F23" w:rsidR="003A50E5" w:rsidRDefault="00D007AB" w:rsidP="003A50E5">
      <w:pPr>
        <w:keepNext/>
      </w:pPr>
      <w:r>
        <w:rPr>
          <w:noProof/>
          <w:lang w:val="en-CA" w:eastAsia="en-CA"/>
        </w:rPr>
        <w:drawing>
          <wp:inline distT="0" distB="0" distL="0" distR="0" wp14:anchorId="3597C3B0" wp14:editId="44EF49E2">
            <wp:extent cx="5943600" cy="2666365"/>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D-2022_DensiTree.png"/>
                    <pic:cNvPicPr/>
                  </pic:nvPicPr>
                  <pic:blipFill>
                    <a:blip r:embed="rId8">
                      <a:extLst>
                        <a:ext uri="{28A0092B-C50C-407E-A947-70E740481C1C}">
                          <a14:useLocalDpi xmlns:a14="http://schemas.microsoft.com/office/drawing/2010/main" val="0"/>
                        </a:ext>
                      </a:extLst>
                    </a:blip>
                    <a:stretch>
                      <a:fillRect/>
                    </a:stretch>
                  </pic:blipFill>
                  <pic:spPr>
                    <a:xfrm>
                      <a:off x="0" y="0"/>
                      <a:ext cx="5943600" cy="2666365"/>
                    </a:xfrm>
                    <a:prstGeom prst="rect">
                      <a:avLst/>
                    </a:prstGeom>
                  </pic:spPr>
                </pic:pic>
              </a:graphicData>
            </a:graphic>
          </wp:inline>
        </w:drawing>
      </w:r>
    </w:p>
    <w:p w14:paraId="57135AEA" w14:textId="22D31E9C" w:rsidR="003A50E5" w:rsidRPr="00ED4D7B" w:rsidRDefault="003A50E5" w:rsidP="003A50E5">
      <w:pPr>
        <w:pStyle w:val="Caption"/>
        <w:rPr>
          <w:b/>
          <w:i w:val="0"/>
          <w:color w:val="auto"/>
          <w:sz w:val="24"/>
          <w:szCs w:val="24"/>
        </w:rPr>
      </w:pPr>
      <w:r w:rsidRPr="00ED4D7B">
        <w:rPr>
          <w:b/>
          <w:i w:val="0"/>
          <w:color w:val="auto"/>
          <w:sz w:val="24"/>
          <w:szCs w:val="24"/>
        </w:rPr>
        <w:t xml:space="preserve">Figure </w:t>
      </w:r>
      <w:r w:rsidR="000D4273">
        <w:rPr>
          <w:b/>
          <w:i w:val="0"/>
          <w:color w:val="auto"/>
          <w:sz w:val="24"/>
          <w:szCs w:val="24"/>
        </w:rPr>
        <w:t>S3</w:t>
      </w:r>
      <w:r w:rsidRPr="00ED4D7B">
        <w:rPr>
          <w:b/>
          <w:i w:val="0"/>
          <w:color w:val="auto"/>
          <w:sz w:val="24"/>
          <w:szCs w:val="24"/>
        </w:rPr>
        <w:t>: Summery tree plot of combined files from 3 runs</w:t>
      </w:r>
      <w:r w:rsidR="00F151E8" w:rsidRPr="00ED4D7B">
        <w:rPr>
          <w:b/>
          <w:i w:val="0"/>
          <w:color w:val="auto"/>
          <w:sz w:val="24"/>
          <w:szCs w:val="24"/>
        </w:rPr>
        <w:t xml:space="preserve"> of best performing BDSS model f</w:t>
      </w:r>
      <w:r w:rsidRPr="00ED4D7B">
        <w:rPr>
          <w:b/>
          <w:i w:val="0"/>
          <w:color w:val="auto"/>
          <w:sz w:val="24"/>
          <w:szCs w:val="24"/>
        </w:rPr>
        <w:t xml:space="preserve">itted to MD-2022 dataset. Plot produced using </w:t>
      </w:r>
      <w:proofErr w:type="spellStart"/>
      <w:r w:rsidRPr="00ED4D7B">
        <w:rPr>
          <w:b/>
          <w:i w:val="0"/>
          <w:color w:val="auto"/>
          <w:sz w:val="24"/>
          <w:szCs w:val="24"/>
        </w:rPr>
        <w:t>Densitree</w:t>
      </w:r>
      <w:proofErr w:type="spellEnd"/>
      <w:r w:rsidRPr="00ED4D7B">
        <w:rPr>
          <w:b/>
          <w:i w:val="0"/>
          <w:color w:val="auto"/>
          <w:sz w:val="24"/>
          <w:szCs w:val="24"/>
        </w:rPr>
        <w:t xml:space="preserve"> </w:t>
      </w:r>
      <w:r w:rsidRPr="00ED4D7B">
        <w:rPr>
          <w:b/>
          <w:i w:val="0"/>
          <w:color w:val="auto"/>
          <w:sz w:val="24"/>
          <w:szCs w:val="24"/>
        </w:rPr>
        <w:fldChar w:fldCharType="begin" w:fldLock="1"/>
      </w:r>
      <w:r w:rsidR="00D007AB" w:rsidRPr="00ED4D7B">
        <w:rPr>
          <w:b/>
          <w:i w:val="0"/>
          <w:color w:val="auto"/>
          <w:sz w:val="24"/>
          <w:szCs w:val="24"/>
        </w:rPr>
        <w:instrText>ADDIN CSL_CITATION {"citationItems":[{"id":"ITEM-1","itemData":{"DOI":"10.1093/bioinformatics/btq110","ISSN":"13674803","PMID":"20228129","abstract":"Motivation: Bayesian analysis through programs like BEAST (Drummond and Rumbaut, 2007) and MrBayes (Huelsenbeck et al., 2001) provides a powerful method for reconstruction of evolutionary relationships. One of the benefits of Bayesian methods is that wellfounded estimates of uncertainty in models can be made available. So, for example, not only the mean time of a most recent common ancestor (tMRCA) is estimated, but also the spread. This distribution over model space is represented by a set of trees, which can be rather large and difficult to interpret. DensiTree is a tool that helps navigating these sets of trees. Results: The main idea behind DensiTree is to draw all trees in the set transparently. As a result, areas where a lot of the trees agree in topology and branch lengths show up as highly colored areas, while areas with little agreement show up as webs. This makes it possible to quickly get an impression of properties of the tree set such as well-supported clades, distribution of tMRCA and areas of topological uncertainty. Thus, DensiTree provides a quick method for qualitative analysis of tree sets. Availability: DensiTree is freely available from http://compevol.auckland.ac.nz/software/DensiTree/. The program is licensed under GPL and source code is available. Contact: remco@cs.auckland.ac.nz. © The Author 2010. Published by Oxford University Press. All rights reserved. For Permissions, please email: journals.permissions@oxfordjournals.org.","author":[{"dropping-particle":"","family":"Bouckaert","given":"Remco R.","non-dropping-particle":"","parse-names":false,"suffix":""}],"container-title":"Bioinformatics","id":"ITEM-1","issue":"10","issued":{"date-parts":[["2010","5","15"]]},"page":"1372-1373","publisher":"Oxford Academic","title":"DensiTree: Making sense of sets of phylogenetic trees","type":"article-journal","volume":"26"},"uris":["http://www.mendeley.com/documents/?uuid=bc6bd1ca-90a3-301f-ae93-32c33f5ea81b"]}],"mendeley":{"formattedCitation":"(Bouckaert 2010)","plainTextFormattedCitation":"(Bouckaert 2010)","previouslyFormattedCitation":"(Bouckaert 2010)"},"properties":{"noteIndex":0},"schema":"https://github.com/citation-style-language/schema/raw/master/csl-citation.json"}</w:instrText>
      </w:r>
      <w:r w:rsidRPr="00ED4D7B">
        <w:rPr>
          <w:b/>
          <w:i w:val="0"/>
          <w:color w:val="auto"/>
          <w:sz w:val="24"/>
          <w:szCs w:val="24"/>
        </w:rPr>
        <w:fldChar w:fldCharType="separate"/>
      </w:r>
      <w:r w:rsidRPr="00ED4D7B">
        <w:rPr>
          <w:b/>
          <w:i w:val="0"/>
          <w:color w:val="auto"/>
          <w:sz w:val="24"/>
          <w:szCs w:val="24"/>
        </w:rPr>
        <w:t>(Bouckaert 2010)</w:t>
      </w:r>
      <w:r w:rsidRPr="00ED4D7B">
        <w:rPr>
          <w:b/>
          <w:i w:val="0"/>
          <w:color w:val="auto"/>
          <w:sz w:val="24"/>
          <w:szCs w:val="24"/>
        </w:rPr>
        <w:fldChar w:fldCharType="end"/>
      </w:r>
      <w:r w:rsidRPr="00ED4D7B">
        <w:rPr>
          <w:b/>
          <w:i w:val="0"/>
          <w:color w:val="auto"/>
          <w:sz w:val="24"/>
          <w:szCs w:val="24"/>
        </w:rPr>
        <w:t>. Summery root canal tree is in blue.</w:t>
      </w:r>
    </w:p>
    <w:p w14:paraId="6F2781A2" w14:textId="75952130" w:rsidR="0051219A" w:rsidRPr="00D007AB" w:rsidRDefault="0051219A" w:rsidP="00D007AB">
      <w:pPr>
        <w:rPr>
          <w:rFonts w:eastAsiaTheme="majorEastAsia" w:cstheme="majorBidi"/>
          <w:b/>
          <w:sz w:val="26"/>
          <w:szCs w:val="26"/>
        </w:rPr>
      </w:pPr>
    </w:p>
    <w:p w14:paraId="59A5185D" w14:textId="77777777" w:rsidR="0051219A" w:rsidRPr="0051219A" w:rsidRDefault="0051219A" w:rsidP="0051219A">
      <w:pPr>
        <w:pStyle w:val="BodyTextFirstIndent"/>
        <w:ind w:firstLine="0"/>
      </w:pPr>
    </w:p>
    <w:p w14:paraId="0BB5A9ED" w14:textId="77777777" w:rsidR="00AB4DBD" w:rsidRDefault="00AB4DBD" w:rsidP="0051219A">
      <w:pPr>
        <w:rPr>
          <w:b/>
        </w:rPr>
      </w:pPr>
    </w:p>
    <w:p w14:paraId="5344B0CE" w14:textId="77777777" w:rsidR="00AB4DBD" w:rsidRDefault="00AB4DBD" w:rsidP="0051219A">
      <w:pPr>
        <w:rPr>
          <w:b/>
        </w:rPr>
      </w:pPr>
    </w:p>
    <w:p w14:paraId="2DA49302" w14:textId="77777777" w:rsidR="0051219A" w:rsidRPr="00282A29" w:rsidRDefault="0051219A" w:rsidP="0051219A">
      <w:pPr>
        <w:rPr>
          <w:b/>
        </w:rPr>
      </w:pPr>
      <w:r w:rsidRPr="00282A29">
        <w:rPr>
          <w:b/>
        </w:rPr>
        <w:lastRenderedPageBreak/>
        <w:t>Reference</w:t>
      </w:r>
    </w:p>
    <w:p w14:paraId="54696063" w14:textId="69A39EDD" w:rsidR="00D007AB" w:rsidRPr="00D007AB" w:rsidRDefault="0051219A" w:rsidP="00D007AB">
      <w:pPr>
        <w:widowControl w:val="0"/>
        <w:autoSpaceDE w:val="0"/>
        <w:autoSpaceDN w:val="0"/>
        <w:adjustRightInd w:val="0"/>
        <w:spacing w:line="240" w:lineRule="auto"/>
        <w:ind w:left="480" w:hanging="480"/>
        <w:rPr>
          <w:rFonts w:cs="Times New Roman"/>
          <w:noProof/>
        </w:rPr>
      </w:pPr>
      <w:r>
        <w:fldChar w:fldCharType="begin" w:fldLock="1"/>
      </w:r>
      <w:r>
        <w:instrText xml:space="preserve">ADDIN Mendeley Bibliography CSL_BIBLIOGRAPHY </w:instrText>
      </w:r>
      <w:r>
        <w:fldChar w:fldCharType="separate"/>
      </w:r>
      <w:r w:rsidR="00D007AB" w:rsidRPr="00D007AB">
        <w:rPr>
          <w:rFonts w:cs="Times New Roman"/>
          <w:noProof/>
          <w:szCs w:val="24"/>
        </w:rPr>
        <w:t xml:space="preserve">Bouckaert, Remco R. 2010. “DensiTree: Making Sense of Sets of Phylogenetic Trees.” </w:t>
      </w:r>
      <w:r w:rsidR="00D007AB" w:rsidRPr="00D007AB">
        <w:rPr>
          <w:rFonts w:cs="Times New Roman"/>
          <w:i/>
          <w:iCs/>
          <w:noProof/>
          <w:szCs w:val="24"/>
        </w:rPr>
        <w:t>Bioinformatics</w:t>
      </w:r>
      <w:r w:rsidR="00D007AB" w:rsidRPr="00D007AB">
        <w:rPr>
          <w:rFonts w:cs="Times New Roman"/>
          <w:noProof/>
          <w:szCs w:val="24"/>
        </w:rPr>
        <w:t xml:space="preserve"> 26 (10): 1372–73. https://doi.org/10.1093/bioinformatics/btq110.</w:t>
      </w:r>
    </w:p>
    <w:p w14:paraId="2D23D4B5" w14:textId="77777777" w:rsidR="0051219A" w:rsidRPr="00282A29" w:rsidRDefault="0051219A" w:rsidP="0051219A">
      <w:pPr>
        <w:pStyle w:val="BodyTextFirstIndent"/>
        <w:ind w:firstLine="0"/>
      </w:pPr>
      <w:r>
        <w:fldChar w:fldCharType="end"/>
      </w:r>
    </w:p>
    <w:p w14:paraId="52A3E5B1" w14:textId="77777777" w:rsidR="0051219A" w:rsidRPr="0051219A" w:rsidRDefault="0051219A" w:rsidP="0051219A">
      <w:pPr>
        <w:pStyle w:val="BodyTextFirstIndent"/>
      </w:pPr>
    </w:p>
    <w:sectPr w:rsidR="0051219A" w:rsidRPr="0051219A">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590521F6" w16cex:dateUtc="2024-04-17T15: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0204A38" w16cid:durableId="590521F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9274F"/>
    <w:multiLevelType w:val="multilevel"/>
    <w:tmpl w:val="10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74053954"/>
    <w:multiLevelType w:val="hybridMultilevel"/>
    <w:tmpl w:val="D6D656F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7F0"/>
    <w:rsid w:val="00012BF4"/>
    <w:rsid w:val="000B3CEB"/>
    <w:rsid w:val="000D4273"/>
    <w:rsid w:val="00152C8A"/>
    <w:rsid w:val="001A1133"/>
    <w:rsid w:val="002B5D4D"/>
    <w:rsid w:val="003A50E5"/>
    <w:rsid w:val="003C6898"/>
    <w:rsid w:val="00445AE4"/>
    <w:rsid w:val="00496C4F"/>
    <w:rsid w:val="0051219A"/>
    <w:rsid w:val="00513E0B"/>
    <w:rsid w:val="00535ED7"/>
    <w:rsid w:val="005667F2"/>
    <w:rsid w:val="0065408D"/>
    <w:rsid w:val="00757625"/>
    <w:rsid w:val="00825E53"/>
    <w:rsid w:val="0088031A"/>
    <w:rsid w:val="00883DD1"/>
    <w:rsid w:val="00896763"/>
    <w:rsid w:val="008A2900"/>
    <w:rsid w:val="008D6F8C"/>
    <w:rsid w:val="00924D71"/>
    <w:rsid w:val="00A516D4"/>
    <w:rsid w:val="00A55946"/>
    <w:rsid w:val="00AB4DBD"/>
    <w:rsid w:val="00AF5D3F"/>
    <w:rsid w:val="00B61FBB"/>
    <w:rsid w:val="00BF5BBA"/>
    <w:rsid w:val="00C745C8"/>
    <w:rsid w:val="00D007AB"/>
    <w:rsid w:val="00D54BA4"/>
    <w:rsid w:val="00E4696C"/>
    <w:rsid w:val="00EC4758"/>
    <w:rsid w:val="00ED4D7B"/>
    <w:rsid w:val="00F01462"/>
    <w:rsid w:val="00F151E8"/>
    <w:rsid w:val="00F157F0"/>
    <w:rsid w:val="00F27819"/>
    <w:rsid w:val="00F526DD"/>
    <w:rsid w:val="00FB00FB"/>
    <w:rsid w:val="00FD6DD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4BF2B"/>
  <w15:chartTrackingRefBased/>
  <w15:docId w15:val="{A533595A-2BB5-4D60-9C9B-259E5E86D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BodyTextFirstIndent"/>
    <w:qFormat/>
    <w:rsid w:val="00152C8A"/>
    <w:rPr>
      <w:rFonts w:ascii="Times New Roman" w:hAnsi="Times New Roman"/>
      <w:sz w:val="24"/>
      <w:lang w:val="en-US"/>
    </w:rPr>
  </w:style>
  <w:style w:type="paragraph" w:styleId="Heading1">
    <w:name w:val="heading 1"/>
    <w:basedOn w:val="Normal"/>
    <w:next w:val="Normal"/>
    <w:link w:val="Heading1Char"/>
    <w:uiPriority w:val="9"/>
    <w:qFormat/>
    <w:rsid w:val="0051219A"/>
    <w:pPr>
      <w:keepNext/>
      <w:keepLines/>
      <w:numPr>
        <w:numId w:val="1"/>
      </w:numPr>
      <w:spacing w:before="240" w:after="0"/>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51219A"/>
    <w:pPr>
      <w:keepNext/>
      <w:keepLines/>
      <w:numPr>
        <w:ilvl w:val="1"/>
        <w:numId w:val="1"/>
      </w:numPr>
      <w:spacing w:before="40" w:after="0"/>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51219A"/>
    <w:pPr>
      <w:keepNext/>
      <w:keepLines/>
      <w:numPr>
        <w:ilvl w:val="2"/>
        <w:numId w:val="1"/>
      </w:numPr>
      <w:spacing w:before="40" w:after="0"/>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51219A"/>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51219A"/>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1219A"/>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1219A"/>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1219A"/>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1219A"/>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52C8A"/>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rsid w:val="00152C8A"/>
    <w:pPr>
      <w:spacing w:line="240" w:lineRule="auto"/>
    </w:pPr>
    <w:rPr>
      <w:sz w:val="20"/>
      <w:szCs w:val="20"/>
    </w:rPr>
  </w:style>
  <w:style w:type="character" w:customStyle="1" w:styleId="CommentTextChar">
    <w:name w:val="Comment Text Char"/>
    <w:basedOn w:val="DefaultParagraphFont"/>
    <w:link w:val="CommentText"/>
    <w:uiPriority w:val="99"/>
    <w:rsid w:val="00152C8A"/>
    <w:rPr>
      <w:rFonts w:ascii="Times New Roman" w:hAnsi="Times New Roman"/>
      <w:sz w:val="20"/>
      <w:szCs w:val="20"/>
      <w:lang w:val="en-US"/>
    </w:rPr>
  </w:style>
  <w:style w:type="character" w:styleId="CommentReference">
    <w:name w:val="annotation reference"/>
    <w:basedOn w:val="DefaultParagraphFont"/>
    <w:uiPriority w:val="99"/>
    <w:semiHidden/>
    <w:unhideWhenUsed/>
    <w:rsid w:val="00152C8A"/>
    <w:rPr>
      <w:sz w:val="16"/>
      <w:szCs w:val="16"/>
    </w:rPr>
  </w:style>
  <w:style w:type="paragraph" w:styleId="BodyText">
    <w:name w:val="Body Text"/>
    <w:basedOn w:val="Normal"/>
    <w:link w:val="BodyTextChar"/>
    <w:uiPriority w:val="99"/>
    <w:semiHidden/>
    <w:unhideWhenUsed/>
    <w:rsid w:val="00152C8A"/>
    <w:pPr>
      <w:spacing w:after="120"/>
    </w:pPr>
  </w:style>
  <w:style w:type="character" w:customStyle="1" w:styleId="BodyTextChar">
    <w:name w:val="Body Text Char"/>
    <w:basedOn w:val="DefaultParagraphFont"/>
    <w:link w:val="BodyText"/>
    <w:uiPriority w:val="99"/>
    <w:semiHidden/>
    <w:rsid w:val="00152C8A"/>
    <w:rPr>
      <w:rFonts w:ascii="Times New Roman" w:hAnsi="Times New Roman"/>
      <w:sz w:val="24"/>
      <w:lang w:val="en-US"/>
    </w:rPr>
  </w:style>
  <w:style w:type="paragraph" w:styleId="BodyTextFirstIndent">
    <w:name w:val="Body Text First Indent"/>
    <w:basedOn w:val="BodyText"/>
    <w:link w:val="BodyTextFirstIndentChar"/>
    <w:uiPriority w:val="99"/>
    <w:unhideWhenUsed/>
    <w:rsid w:val="00152C8A"/>
    <w:pPr>
      <w:spacing w:after="160"/>
      <w:ind w:firstLine="360"/>
    </w:pPr>
  </w:style>
  <w:style w:type="character" w:customStyle="1" w:styleId="BodyTextFirstIndentChar">
    <w:name w:val="Body Text First Indent Char"/>
    <w:basedOn w:val="BodyTextChar"/>
    <w:link w:val="BodyTextFirstIndent"/>
    <w:uiPriority w:val="99"/>
    <w:rsid w:val="00152C8A"/>
    <w:rPr>
      <w:rFonts w:ascii="Times New Roman" w:hAnsi="Times New Roman"/>
      <w:sz w:val="24"/>
      <w:lang w:val="en-US"/>
    </w:rPr>
  </w:style>
  <w:style w:type="paragraph" w:styleId="Caption">
    <w:name w:val="caption"/>
    <w:basedOn w:val="Normal"/>
    <w:next w:val="Normal"/>
    <w:uiPriority w:val="35"/>
    <w:unhideWhenUsed/>
    <w:qFormat/>
    <w:rsid w:val="00152C8A"/>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152C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2C8A"/>
    <w:rPr>
      <w:rFonts w:ascii="Segoe UI" w:hAnsi="Segoe UI" w:cs="Segoe UI"/>
      <w:sz w:val="18"/>
      <w:szCs w:val="18"/>
      <w:lang w:val="en-US"/>
    </w:rPr>
  </w:style>
  <w:style w:type="character" w:customStyle="1" w:styleId="Heading1Char">
    <w:name w:val="Heading 1 Char"/>
    <w:basedOn w:val="DefaultParagraphFont"/>
    <w:link w:val="Heading1"/>
    <w:uiPriority w:val="9"/>
    <w:rsid w:val="0051219A"/>
    <w:rPr>
      <w:rFonts w:ascii="Times New Roman" w:eastAsiaTheme="majorEastAsia" w:hAnsi="Times New Roman" w:cstheme="majorBidi"/>
      <w:b/>
      <w:color w:val="000000" w:themeColor="text1"/>
      <w:sz w:val="32"/>
      <w:szCs w:val="32"/>
      <w:lang w:val="en-US"/>
    </w:rPr>
  </w:style>
  <w:style w:type="character" w:customStyle="1" w:styleId="Heading2Char">
    <w:name w:val="Heading 2 Char"/>
    <w:basedOn w:val="DefaultParagraphFont"/>
    <w:link w:val="Heading2"/>
    <w:uiPriority w:val="9"/>
    <w:rsid w:val="0051219A"/>
    <w:rPr>
      <w:rFonts w:ascii="Times New Roman" w:eastAsiaTheme="majorEastAsia" w:hAnsi="Times New Roman" w:cstheme="majorBidi"/>
      <w:b/>
      <w:sz w:val="26"/>
      <w:szCs w:val="26"/>
      <w:lang w:val="en-US"/>
    </w:rPr>
  </w:style>
  <w:style w:type="character" w:customStyle="1" w:styleId="Heading3Char">
    <w:name w:val="Heading 3 Char"/>
    <w:basedOn w:val="DefaultParagraphFont"/>
    <w:link w:val="Heading3"/>
    <w:uiPriority w:val="9"/>
    <w:rsid w:val="0051219A"/>
    <w:rPr>
      <w:rFonts w:ascii="Times New Roman" w:eastAsiaTheme="majorEastAsia" w:hAnsi="Times New Roman" w:cstheme="majorBidi"/>
      <w:b/>
      <w:sz w:val="24"/>
      <w:szCs w:val="24"/>
      <w:lang w:val="en-US"/>
    </w:rPr>
  </w:style>
  <w:style w:type="character" w:customStyle="1" w:styleId="Heading4Char">
    <w:name w:val="Heading 4 Char"/>
    <w:basedOn w:val="DefaultParagraphFont"/>
    <w:link w:val="Heading4"/>
    <w:uiPriority w:val="9"/>
    <w:semiHidden/>
    <w:rsid w:val="0051219A"/>
    <w:rPr>
      <w:rFonts w:asciiTheme="majorHAnsi" w:eastAsiaTheme="majorEastAsia" w:hAnsiTheme="majorHAnsi" w:cstheme="majorBidi"/>
      <w:i/>
      <w:iCs/>
      <w:color w:val="2E74B5" w:themeColor="accent1" w:themeShade="BF"/>
      <w:sz w:val="24"/>
      <w:lang w:val="en-US"/>
    </w:rPr>
  </w:style>
  <w:style w:type="character" w:customStyle="1" w:styleId="Heading5Char">
    <w:name w:val="Heading 5 Char"/>
    <w:basedOn w:val="DefaultParagraphFont"/>
    <w:link w:val="Heading5"/>
    <w:uiPriority w:val="9"/>
    <w:semiHidden/>
    <w:rsid w:val="0051219A"/>
    <w:rPr>
      <w:rFonts w:asciiTheme="majorHAnsi" w:eastAsiaTheme="majorEastAsia" w:hAnsiTheme="majorHAnsi" w:cstheme="majorBidi"/>
      <w:color w:val="2E74B5" w:themeColor="accent1" w:themeShade="BF"/>
      <w:sz w:val="24"/>
      <w:lang w:val="en-US"/>
    </w:rPr>
  </w:style>
  <w:style w:type="character" w:customStyle="1" w:styleId="Heading6Char">
    <w:name w:val="Heading 6 Char"/>
    <w:basedOn w:val="DefaultParagraphFont"/>
    <w:link w:val="Heading6"/>
    <w:uiPriority w:val="9"/>
    <w:semiHidden/>
    <w:rsid w:val="0051219A"/>
    <w:rPr>
      <w:rFonts w:asciiTheme="majorHAnsi" w:eastAsiaTheme="majorEastAsia" w:hAnsiTheme="majorHAnsi" w:cstheme="majorBidi"/>
      <w:color w:val="1F4D78" w:themeColor="accent1" w:themeShade="7F"/>
      <w:sz w:val="24"/>
      <w:lang w:val="en-US"/>
    </w:rPr>
  </w:style>
  <w:style w:type="character" w:customStyle="1" w:styleId="Heading7Char">
    <w:name w:val="Heading 7 Char"/>
    <w:basedOn w:val="DefaultParagraphFont"/>
    <w:link w:val="Heading7"/>
    <w:uiPriority w:val="9"/>
    <w:semiHidden/>
    <w:rsid w:val="0051219A"/>
    <w:rPr>
      <w:rFonts w:asciiTheme="majorHAnsi" w:eastAsiaTheme="majorEastAsia" w:hAnsiTheme="majorHAnsi" w:cstheme="majorBidi"/>
      <w:i/>
      <w:iCs/>
      <w:color w:val="1F4D78" w:themeColor="accent1" w:themeShade="7F"/>
      <w:sz w:val="24"/>
      <w:lang w:val="en-US"/>
    </w:rPr>
  </w:style>
  <w:style w:type="character" w:customStyle="1" w:styleId="Heading8Char">
    <w:name w:val="Heading 8 Char"/>
    <w:basedOn w:val="DefaultParagraphFont"/>
    <w:link w:val="Heading8"/>
    <w:uiPriority w:val="9"/>
    <w:semiHidden/>
    <w:rsid w:val="0051219A"/>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51219A"/>
    <w:rPr>
      <w:rFonts w:asciiTheme="majorHAnsi" w:eastAsiaTheme="majorEastAsia" w:hAnsiTheme="majorHAnsi" w:cstheme="majorBidi"/>
      <w:i/>
      <w:iCs/>
      <w:color w:val="272727" w:themeColor="text1" w:themeTint="D8"/>
      <w:sz w:val="21"/>
      <w:szCs w:val="21"/>
      <w:lang w:val="en-US"/>
    </w:rPr>
  </w:style>
  <w:style w:type="paragraph" w:styleId="Title">
    <w:name w:val="Title"/>
    <w:basedOn w:val="Normal"/>
    <w:next w:val="Normal"/>
    <w:link w:val="TitleChar"/>
    <w:uiPriority w:val="10"/>
    <w:qFormat/>
    <w:rsid w:val="0051219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219A"/>
    <w:rPr>
      <w:rFonts w:asciiTheme="majorHAnsi" w:eastAsiaTheme="majorEastAsia" w:hAnsiTheme="majorHAnsi" w:cstheme="majorBidi"/>
      <w:spacing w:val="-10"/>
      <w:kern w:val="28"/>
      <w:sz w:val="56"/>
      <w:szCs w:val="56"/>
      <w:lang w:val="en-US"/>
    </w:rPr>
  </w:style>
  <w:style w:type="paragraph" w:styleId="CommentSubject">
    <w:name w:val="annotation subject"/>
    <w:basedOn w:val="CommentText"/>
    <w:next w:val="CommentText"/>
    <w:link w:val="CommentSubjectChar"/>
    <w:uiPriority w:val="99"/>
    <w:semiHidden/>
    <w:unhideWhenUsed/>
    <w:rsid w:val="00EC4758"/>
    <w:rPr>
      <w:b/>
      <w:bCs/>
    </w:rPr>
  </w:style>
  <w:style w:type="character" w:customStyle="1" w:styleId="CommentSubjectChar">
    <w:name w:val="Comment Subject Char"/>
    <w:basedOn w:val="CommentTextChar"/>
    <w:link w:val="CommentSubject"/>
    <w:uiPriority w:val="99"/>
    <w:semiHidden/>
    <w:rsid w:val="00EC4758"/>
    <w:rPr>
      <w:rFonts w:ascii="Times New Roman" w:hAnsi="Times New Roman"/>
      <w:b/>
      <w:bCs/>
      <w:sz w:val="20"/>
      <w:szCs w:val="20"/>
      <w:lang w:val="en-US"/>
    </w:rPr>
  </w:style>
  <w:style w:type="character" w:customStyle="1" w:styleId="accordion-tabbedtab-mobile">
    <w:name w:val="accordion-tabbed__tab-mobile"/>
    <w:basedOn w:val="DefaultParagraphFont"/>
    <w:rsid w:val="00ED4D7B"/>
  </w:style>
  <w:style w:type="paragraph" w:styleId="Revision">
    <w:name w:val="Revision"/>
    <w:hidden/>
    <w:uiPriority w:val="99"/>
    <w:semiHidden/>
    <w:rsid w:val="00C745C8"/>
    <w:pPr>
      <w:spacing w:after="0" w:line="240" w:lineRule="auto"/>
    </w:pPr>
    <w:rPr>
      <w:rFonts w:ascii="Times New Roman" w:hAnsi="Times New Roman"/>
      <w:sz w:val="24"/>
      <w:lang w:val="en-US"/>
    </w:rPr>
  </w:style>
  <w:style w:type="character" w:customStyle="1" w:styleId="text">
    <w:name w:val="text"/>
    <w:basedOn w:val="DefaultParagraphFont"/>
    <w:rsid w:val="00924D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image" Target="media/image2.png"/><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8E7A1C655B5426BA4CDD993811147A6"/>
        <w:category>
          <w:name w:val="General"/>
          <w:gallery w:val="placeholder"/>
        </w:category>
        <w:types>
          <w:type w:val="bbPlcHdr"/>
        </w:types>
        <w:behaviors>
          <w:behavior w:val="content"/>
        </w:behaviors>
        <w:guid w:val="{87491326-B6A7-4085-96B5-104337FBAE8F}"/>
      </w:docPartPr>
      <w:docPartBody>
        <w:p w:rsidR="005924FB" w:rsidRDefault="005924FB" w:rsidP="005924FB">
          <w:pPr>
            <w:pStyle w:val="98E7A1C655B5426BA4CDD993811147A6"/>
          </w:pPr>
          <w:r w:rsidRPr="00956A7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4FB"/>
    <w:rsid w:val="00395D27"/>
    <w:rsid w:val="00432072"/>
    <w:rsid w:val="005924FB"/>
    <w:rsid w:val="005E257D"/>
    <w:rsid w:val="007B57D9"/>
    <w:rsid w:val="00EE6AEF"/>
    <w:rsid w:val="00FE539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4FB"/>
    <w:rPr>
      <w:color w:val="808080"/>
    </w:rPr>
  </w:style>
  <w:style w:type="paragraph" w:customStyle="1" w:styleId="98E7A1C655B5426BA4CDD993811147A6">
    <w:name w:val="98E7A1C655B5426BA4CDD993811147A6"/>
    <w:rsid w:val="005924F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6691EB-C797-48F1-BACB-612F17299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1330</Words>
  <Characters>7582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Government of Ontario</Company>
  <LinksUpToDate>false</LinksUpToDate>
  <CharactersWithSpaces>8895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Martin-David Grunnill</dc:creator>
  <cp:keywords/>
  <dc:description/>
  <cp:lastModifiedBy>Venkata Duvvuri</cp:lastModifiedBy>
  <cp:revision>4</cp:revision>
  <dcterms:created xsi:type="dcterms:W3CDTF">2024-04-22T06:21:00Z</dcterms:created>
  <dcterms:modified xsi:type="dcterms:W3CDTF">2024-04-26T12:48:00Z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f706c875-ee3e-3d55-9768-4ddb959f8fa7</vt:lpwstr>
  </property>
  <property fmtid="{D5CDD505-2E9C-101B-9397-08002B2CF9AE}" pid="24" name="Mendeley Citation Style_1">
    <vt:lpwstr>http://www.zotero.org/styles/chicago-author-date</vt:lpwstr>
  </property>
</Properties>
</file>