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3ADA49" w14:textId="78659059" w:rsidR="001B1306" w:rsidRPr="001B1306" w:rsidRDefault="00B62DDD" w:rsidP="00500764">
      <w:pPr>
        <w:suppressAutoHyphens/>
        <w:spacing w:after="0" w:line="240" w:lineRule="auto"/>
        <w:rPr>
          <w:rFonts w:ascii="Times New Roman" w:eastAsia="游明朝" w:hAnsi="Times New Roman" w:cs="Times New Roman"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Supplementa</w:t>
      </w:r>
      <w:r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l</w:t>
      </w:r>
      <w:r w:rsidRPr="001B1306">
        <w:rPr>
          <w:rFonts w:ascii="Times New Roman" w:eastAsia="游明朝" w:hAnsi="Times New Roman" w:cs="Times New Roman"/>
          <w:b/>
          <w:sz w:val="22"/>
          <w:szCs w:val="22"/>
          <w:lang w:val="en-US" w:eastAsia="ja-JP"/>
        </w:rPr>
        <w:t xml:space="preserve"> </w:t>
      </w:r>
      <w:r w:rsidR="00000000" w:rsidRPr="001B1306">
        <w:rPr>
          <w:rFonts w:ascii="Times New Roman" w:eastAsia="游明朝" w:hAnsi="Times New Roman" w:cs="Times New Roman" w:hint="eastAsia"/>
          <w:b/>
          <w:sz w:val="22"/>
          <w:szCs w:val="22"/>
          <w:lang w:val="en-US" w:eastAsia="ja-JP"/>
        </w:rPr>
        <w:t>f</w:t>
      </w:r>
      <w:r w:rsidR="00000000" w:rsidRPr="001B1306">
        <w:rPr>
          <w:rFonts w:ascii="Times New Roman" w:eastAsia="游明朝" w:hAnsi="Times New Roman" w:cs="Times New Roman"/>
          <w:b/>
          <w:sz w:val="22"/>
          <w:szCs w:val="22"/>
          <w:lang w:val="en-US" w:eastAsia="ja-JP"/>
        </w:rPr>
        <w:t>igure legends</w:t>
      </w:r>
    </w:p>
    <w:p w14:paraId="31522A01" w14:textId="77777777" w:rsidR="006E7AFF" w:rsidRDefault="006E7AFF" w:rsidP="001B1306">
      <w:pPr>
        <w:widowControl w:val="0"/>
        <w:suppressAutoHyphens/>
        <w:spacing w:after="0" w:line="480" w:lineRule="auto"/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</w:pPr>
    </w:p>
    <w:p w14:paraId="3CD4D1A6" w14:textId="5498F5EF" w:rsidR="001B1306" w:rsidRPr="001B1306" w:rsidRDefault="00DE6923" w:rsidP="001B1306">
      <w:pPr>
        <w:widowControl w:val="0"/>
        <w:suppressAutoHyphens/>
        <w:spacing w:after="0" w:line="480" w:lineRule="auto"/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Supplementa</w:t>
      </w:r>
      <w:r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l</w:t>
      </w:r>
      <w:r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 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Fig</w:t>
      </w:r>
      <w:r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.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 </w:t>
      </w:r>
      <w:r w:rsidR="00000000" w:rsidRPr="001B1306">
        <w:rPr>
          <w:rFonts w:ascii="Times New Roman" w:eastAsia="游明朝" w:hAnsi="Times New Roman" w:cs="Times New Roman" w:hint="eastAsia"/>
          <w:b/>
          <w:bCs/>
          <w:sz w:val="22"/>
          <w:szCs w:val="22"/>
          <w:lang w:val="en-US" w:eastAsia="ja-JP"/>
        </w:rPr>
        <w:t>1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. Correlation between plasma amyloid β biomarkers and amyloid positivity on PET</w:t>
      </w:r>
    </w:p>
    <w:p w14:paraId="4B7BB0CF" w14:textId="2FB2043B" w:rsidR="001B1306" w:rsidRPr="001B1306" w:rsidRDefault="00000000" w:rsidP="001B1306">
      <w:pPr>
        <w:widowControl w:val="0"/>
        <w:suppressAutoHyphens/>
        <w:spacing w:after="0" w:line="480" w:lineRule="auto"/>
        <w:rPr>
          <w:rFonts w:ascii="Times New Roman" w:eastAsia="游明朝" w:hAnsi="Times New Roman" w:cs="Times New Roman"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The plasma levels of the composite biomarker (A), APP669-711/amyloid β1-42 (B), and amyloid β1-40/1-42 (C) significantly correlated with the PiB SUVR (ρ=0.754, </w:t>
      </w:r>
      <w:r w:rsidR="00B20EF4" w:rsidRPr="004A5867">
        <w:rPr>
          <w:rFonts w:ascii="Times New Roman" w:eastAsia="游明朝" w:hAnsi="Times New Roman" w:cs="Times New Roman"/>
          <w:i/>
          <w:iCs/>
          <w:sz w:val="22"/>
          <w:szCs w:val="22"/>
          <w:lang w:val="en-US" w:eastAsia="ja-JP"/>
        </w:rPr>
        <w:t>P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&lt;</w:t>
      </w:r>
      <w:r w:rsidR="00B20EF4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0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.001, ρ=0.667, </w:t>
      </w:r>
      <w:r w:rsidR="00B20EF4" w:rsidRPr="004A5867">
        <w:rPr>
          <w:rFonts w:ascii="Times New Roman" w:eastAsia="游明朝" w:hAnsi="Times New Roman" w:cs="Times New Roman"/>
          <w:i/>
          <w:iCs/>
          <w:sz w:val="22"/>
          <w:szCs w:val="22"/>
          <w:lang w:val="en-US" w:eastAsia="ja-JP"/>
        </w:rPr>
        <w:t>P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&lt;</w:t>
      </w:r>
      <w:r w:rsidR="00B20EF4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0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.001, ρ=0.677, </w:t>
      </w:r>
      <w:r w:rsidR="00B20EF4" w:rsidRPr="004A5867">
        <w:rPr>
          <w:rFonts w:ascii="Times New Roman" w:eastAsia="游明朝" w:hAnsi="Times New Roman" w:cs="Times New Roman"/>
          <w:i/>
          <w:iCs/>
          <w:sz w:val="22"/>
          <w:szCs w:val="22"/>
          <w:lang w:val="en-US" w:eastAsia="ja-JP"/>
        </w:rPr>
        <w:t>P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&lt;</w:t>
      </w:r>
      <w:r w:rsidR="00B20EF4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0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.001, respectively).</w:t>
      </w:r>
    </w:p>
    <w:p w14:paraId="633AD76E" w14:textId="77777777" w:rsidR="001B1306" w:rsidRPr="001B1306" w:rsidRDefault="00000000" w:rsidP="001B1306">
      <w:pPr>
        <w:widowControl w:val="0"/>
        <w:suppressAutoHyphens/>
        <w:spacing w:after="0" w:line="480" w:lineRule="auto"/>
        <w:rPr>
          <w:rFonts w:ascii="Times New Roman" w:eastAsia="游明朝" w:hAnsi="Times New Roman" w:cs="Times New Roman"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APP, amyloid β precursor protein; PET, positron emission tomography; PiB, </w:t>
      </w:r>
      <w:r w:rsidRPr="001B1306">
        <w:rPr>
          <w:rFonts w:ascii="Times New Roman" w:eastAsia="游明朝" w:hAnsi="Times New Roman" w:cs="Times New Roman"/>
          <w:sz w:val="22"/>
          <w:szCs w:val="22"/>
          <w:vertAlign w:val="superscript"/>
          <w:lang w:val="en-US" w:eastAsia="ja-JP"/>
        </w:rPr>
        <w:t>11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C-Pittsburgh Compound B; SUVR, standardized uptake value ratio</w:t>
      </w:r>
    </w:p>
    <w:p w14:paraId="636775D1" w14:textId="38B341DC" w:rsidR="001B1306" w:rsidRPr="001B1306" w:rsidRDefault="00DE6923" w:rsidP="001B1306">
      <w:pPr>
        <w:widowControl w:val="0"/>
        <w:suppressAutoHyphens/>
        <w:spacing w:after="0" w:line="480" w:lineRule="auto"/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Supplementa</w:t>
      </w:r>
      <w:r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l</w:t>
      </w:r>
      <w:r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 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Fig</w:t>
      </w:r>
      <w:r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.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 </w:t>
      </w:r>
      <w:r w:rsidR="00000000" w:rsidRPr="001B1306">
        <w:rPr>
          <w:rFonts w:ascii="Times New Roman" w:eastAsia="游明朝" w:hAnsi="Times New Roman" w:cs="Times New Roman" w:hint="eastAsia"/>
          <w:b/>
          <w:bCs/>
          <w:sz w:val="22"/>
          <w:szCs w:val="22"/>
          <w:lang w:val="en-US" w:eastAsia="ja-JP"/>
        </w:rPr>
        <w:t xml:space="preserve">2. 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Statistical </w:t>
      </w:r>
      <w:r w:rsidR="00B20EF4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P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arametric </w:t>
      </w:r>
      <w:r w:rsidR="00B20EF4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M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apping 8 analysis</w:t>
      </w:r>
    </w:p>
    <w:p w14:paraId="131FD17C" w14:textId="7FEB1427" w:rsidR="001B1306" w:rsidRPr="001B1306" w:rsidRDefault="00000000" w:rsidP="001B1306">
      <w:pPr>
        <w:widowControl w:val="0"/>
        <w:suppressAutoHyphens/>
        <w:spacing w:after="0" w:line="480" w:lineRule="auto"/>
        <w:outlineLvl w:val="1"/>
        <w:rPr>
          <w:rFonts w:ascii="Times New Roman" w:eastAsia="游明朝" w:hAnsi="Times New Roman" w:cs="Times New Roman"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The plasma levels of the composite biomarker (A), APP669-711/amyloid β1-42 (B), and amyloid β1-40/1-42 (C) were positively correlated with amyloid uptake in the frontal, parietotemporal, and posterior cingulate regions. The significance threshold was set at </w:t>
      </w:r>
      <w:r w:rsidR="00B20EF4">
        <w:rPr>
          <w:rFonts w:ascii="Times New Roman" w:eastAsia="游明朝" w:hAnsi="Times New Roman" w:cs="Times New Roman"/>
          <w:i/>
          <w:iCs/>
          <w:sz w:val="22"/>
          <w:szCs w:val="22"/>
          <w:lang w:val="en-US" w:eastAsia="ja-JP"/>
        </w:rPr>
        <w:t>P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&lt;</w:t>
      </w:r>
      <w:r w:rsidR="00B20EF4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0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.05, with familywise error correction.</w:t>
      </w:r>
    </w:p>
    <w:p w14:paraId="46B42D81" w14:textId="77777777" w:rsidR="001B1306" w:rsidRPr="001B1306" w:rsidRDefault="00000000" w:rsidP="001B1306">
      <w:pPr>
        <w:widowControl w:val="0"/>
        <w:suppressAutoHyphens/>
        <w:spacing w:after="0" w:line="480" w:lineRule="auto"/>
        <w:outlineLvl w:val="1"/>
        <w:rPr>
          <w:rFonts w:ascii="Times New Roman" w:eastAsia="游明朝" w:hAnsi="Times New Roman" w:cs="Times New Roman"/>
          <w:bCs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bCs/>
          <w:sz w:val="22"/>
          <w:szCs w:val="22"/>
          <w:lang w:val="en-US" w:eastAsia="ja-JP"/>
        </w:rPr>
        <w:t>APP, amyloid β precursor protein</w:t>
      </w:r>
    </w:p>
    <w:p w14:paraId="2106C771" w14:textId="0EEF79CD" w:rsidR="00500764" w:rsidRPr="001B1306" w:rsidRDefault="00DE6923" w:rsidP="00500764">
      <w:pPr>
        <w:widowControl w:val="0"/>
        <w:suppressAutoHyphens/>
        <w:spacing w:after="0" w:line="480" w:lineRule="auto"/>
        <w:outlineLvl w:val="1"/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Supplementa</w:t>
      </w:r>
      <w:r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l</w:t>
      </w:r>
      <w:r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 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Fig</w:t>
      </w:r>
      <w:r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.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 </w:t>
      </w:r>
      <w:r w:rsidR="00000000" w:rsidRPr="001B1306">
        <w:rPr>
          <w:rFonts w:ascii="Times New Roman" w:eastAsia="游明朝" w:hAnsi="Times New Roman" w:cs="Times New Roman" w:hint="eastAsia"/>
          <w:b/>
          <w:bCs/>
          <w:sz w:val="22"/>
          <w:szCs w:val="22"/>
          <w:lang w:val="en-US" w:eastAsia="ja-JP"/>
        </w:rPr>
        <w:t>3.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 </w:t>
      </w:r>
      <w:r w:rsidR="00500764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Impact on sensitivity and specificity with bias of APP669-711/amyloid β1-42 and amyloid β1-40/1-42.</w:t>
      </w:r>
    </w:p>
    <w:p w14:paraId="1C1E0AD3" w14:textId="77777777" w:rsidR="00500764" w:rsidRPr="001B1306" w:rsidRDefault="00500764" w:rsidP="00500764">
      <w:pPr>
        <w:widowControl w:val="0"/>
        <w:suppressAutoHyphens/>
        <w:spacing w:after="0" w:line="480" w:lineRule="auto"/>
        <w:outlineLvl w:val="1"/>
        <w:rPr>
          <w:rFonts w:ascii="Times New Roman" w:eastAsia="游明朝" w:hAnsi="Times New Roman" w:cs="Times New Roman"/>
          <w:bCs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bCs/>
          <w:sz w:val="22"/>
          <w:szCs w:val="22"/>
          <w:lang w:val="en-US" w:eastAsia="ja-JP"/>
        </w:rPr>
        <w:t>The robustness of APP669-711/amyloid β1-42 and amyloid β1-40/1-42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 was compared by adding different biases from -30% to 30% to the original data. The changes in sensitivity and specificity were estimated using lower and higher cutoffs of 90.0% for greater sensitivity and specificity in the original data.</w:t>
      </w:r>
    </w:p>
    <w:p w14:paraId="47921326" w14:textId="77777777" w:rsidR="00500764" w:rsidRPr="001B1306" w:rsidRDefault="00500764" w:rsidP="00500764">
      <w:pPr>
        <w:widowControl w:val="0"/>
        <w:suppressAutoHyphens/>
        <w:spacing w:after="0" w:line="480" w:lineRule="auto"/>
        <w:outlineLvl w:val="1"/>
        <w:rPr>
          <w:rFonts w:ascii="Times New Roman" w:eastAsia="游明朝" w:hAnsi="Times New Roman" w:cs="Times New Roman"/>
          <w:bCs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bCs/>
          <w:sz w:val="22"/>
          <w:szCs w:val="22"/>
          <w:lang w:val="en-US" w:eastAsia="ja-JP"/>
        </w:rPr>
        <w:t>APP, amyloid β precursor protein</w:t>
      </w:r>
    </w:p>
    <w:p w14:paraId="7E0036DE" w14:textId="2AFB500E" w:rsidR="00500764" w:rsidRPr="001B1306" w:rsidRDefault="00DE6923" w:rsidP="00500764">
      <w:pPr>
        <w:widowControl w:val="0"/>
        <w:suppressAutoHyphens/>
        <w:spacing w:after="0" w:line="480" w:lineRule="auto"/>
        <w:outlineLvl w:val="1"/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Supplementa</w:t>
      </w:r>
      <w:r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l</w:t>
      </w:r>
      <w:r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 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Fig</w:t>
      </w:r>
      <w:r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.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 </w:t>
      </w:r>
      <w:r w:rsidR="00000000" w:rsidRPr="001B1306">
        <w:rPr>
          <w:rFonts w:ascii="Times New Roman" w:eastAsia="游明朝" w:hAnsi="Times New Roman" w:cs="Times New Roman" w:hint="eastAsia"/>
          <w:b/>
          <w:bCs/>
          <w:sz w:val="22"/>
          <w:szCs w:val="22"/>
          <w:lang w:val="en-US" w:eastAsia="ja-JP"/>
        </w:rPr>
        <w:t>4.</w:t>
      </w:r>
      <w:r w:rsidR="00000000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 xml:space="preserve"> </w:t>
      </w:r>
      <w:r w:rsidR="00500764" w:rsidRPr="001B1306">
        <w:rPr>
          <w:rFonts w:ascii="Times New Roman" w:eastAsia="游明朝" w:hAnsi="Times New Roman" w:cs="Times New Roman"/>
          <w:b/>
          <w:bCs/>
          <w:sz w:val="22"/>
          <w:szCs w:val="22"/>
          <w:lang w:val="en-US" w:eastAsia="ja-JP"/>
        </w:rPr>
        <w:t>Correlations among plasma amyloid β biomarkers</w:t>
      </w:r>
    </w:p>
    <w:p w14:paraId="6945DBE1" w14:textId="77777777" w:rsidR="00500764" w:rsidRPr="001B1306" w:rsidRDefault="00500764" w:rsidP="00500764">
      <w:pPr>
        <w:widowControl w:val="0"/>
        <w:suppressAutoHyphens/>
        <w:spacing w:after="0" w:line="480" w:lineRule="auto"/>
        <w:outlineLvl w:val="1"/>
        <w:rPr>
          <w:rFonts w:ascii="Times New Roman" w:eastAsia="游明朝" w:hAnsi="Times New Roman" w:cs="Times New Roman"/>
          <w:sz w:val="22"/>
          <w:szCs w:val="22"/>
          <w:lang w:val="en-US" w:eastAsia="ja-JP"/>
        </w:rPr>
      </w:pP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Correlations between the levels of the composite biomarker and APP669-711/amyloid β1-42 (A), </w:t>
      </w:r>
      <w:r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the 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composite biomarker and amyloid β1-40/1-42 (B), amyloid β1-42 and APP669-711 (C), and amyloid β1-42 and amyloid β1-40 (D) are shown. </w:t>
      </w:r>
      <w:r w:rsidRPr="001B1306">
        <w:rPr>
          <w:rFonts w:ascii="Times New Roman" w:eastAsia="游明朝" w:hAnsi="Times New Roman" w:cs="Times New Roman"/>
          <w:bCs/>
          <w:sz w:val="22"/>
          <w:szCs w:val="22"/>
          <w:lang w:val="en-US" w:eastAsia="ja-JP"/>
        </w:rPr>
        <w:t>The circle shows amyloid PET-negative adults, and the triangle shows amyloid PET-positive adults. Red indicates adults with hepatic disorders, and blue indicates adults without hepatic disorders. The arrow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 shows an adult with hepatic encephalopathy. A 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lastRenderedPageBreak/>
        <w:t xml:space="preserve">higher APP669-711/amyloid β1-42 ratio resulted in a greater </w:t>
      </w:r>
      <w:r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 xml:space="preserve">level of the </w:t>
      </w:r>
      <w:r w:rsidRPr="001B1306">
        <w:rPr>
          <w:rFonts w:ascii="Times New Roman" w:eastAsia="游明朝" w:hAnsi="Times New Roman" w:cs="Times New Roman"/>
          <w:sz w:val="22"/>
          <w:szCs w:val="22"/>
          <w:lang w:val="en-US" w:eastAsia="ja-JP"/>
        </w:rPr>
        <w:t>composite biomarker.</w:t>
      </w:r>
    </w:p>
    <w:p w14:paraId="6E974BB3" w14:textId="3DEBF04E" w:rsidR="00F4124E" w:rsidRDefault="00500764" w:rsidP="00500764">
      <w:pPr>
        <w:widowControl w:val="0"/>
        <w:suppressAutoHyphens/>
        <w:spacing w:after="0" w:line="480" w:lineRule="auto"/>
        <w:outlineLvl w:val="1"/>
      </w:pPr>
      <w:r w:rsidRPr="001B1306">
        <w:rPr>
          <w:rFonts w:ascii="Times New Roman" w:eastAsia="游明朝" w:hAnsi="Times New Roman" w:cs="Times New Roman"/>
          <w:bCs/>
          <w:sz w:val="22"/>
          <w:szCs w:val="22"/>
          <w:lang w:val="en-US" w:eastAsia="ja-JP"/>
        </w:rPr>
        <w:t xml:space="preserve">APP, amyloid β precursor protein; PET, positron emission tomography; PiB, </w:t>
      </w:r>
      <w:r w:rsidRPr="001B1306">
        <w:rPr>
          <w:rFonts w:ascii="Times New Roman" w:eastAsia="游明朝" w:hAnsi="Times New Roman" w:cs="Times New Roman"/>
          <w:bCs/>
          <w:sz w:val="22"/>
          <w:szCs w:val="22"/>
          <w:vertAlign w:val="superscript"/>
          <w:lang w:val="en-US" w:eastAsia="ja-JP"/>
        </w:rPr>
        <w:t>11</w:t>
      </w:r>
      <w:r w:rsidRPr="001B1306">
        <w:rPr>
          <w:rFonts w:ascii="Times New Roman" w:eastAsia="游明朝" w:hAnsi="Times New Roman" w:cs="Times New Roman"/>
          <w:bCs/>
          <w:sz w:val="22"/>
          <w:szCs w:val="22"/>
          <w:lang w:val="en-US" w:eastAsia="ja-JP"/>
        </w:rPr>
        <w:t>C-Pittsburgh Compound B.</w:t>
      </w:r>
    </w:p>
    <w:sectPr w:rsidR="00F412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6D01DA" w14:textId="77777777" w:rsidR="00EA44BA" w:rsidRDefault="00EA44BA" w:rsidP="006E7AFF">
      <w:pPr>
        <w:spacing w:after="0" w:line="240" w:lineRule="auto"/>
      </w:pPr>
      <w:r>
        <w:separator/>
      </w:r>
    </w:p>
  </w:endnote>
  <w:endnote w:type="continuationSeparator" w:id="0">
    <w:p w14:paraId="7468DC46" w14:textId="77777777" w:rsidR="00EA44BA" w:rsidRDefault="00EA44BA" w:rsidP="006E7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5E436D" w14:textId="77777777" w:rsidR="00EA44BA" w:rsidRDefault="00EA44BA" w:rsidP="006E7AFF">
      <w:pPr>
        <w:spacing w:after="0" w:line="240" w:lineRule="auto"/>
      </w:pPr>
      <w:r>
        <w:separator/>
      </w:r>
    </w:p>
  </w:footnote>
  <w:footnote w:type="continuationSeparator" w:id="0">
    <w:p w14:paraId="649E6EB2" w14:textId="77777777" w:rsidR="00EA44BA" w:rsidRDefault="00EA44BA" w:rsidP="006E7A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306"/>
    <w:rsid w:val="001B1306"/>
    <w:rsid w:val="001C6C75"/>
    <w:rsid w:val="00294BE1"/>
    <w:rsid w:val="00387480"/>
    <w:rsid w:val="00417A45"/>
    <w:rsid w:val="004A5867"/>
    <w:rsid w:val="00500764"/>
    <w:rsid w:val="006C2964"/>
    <w:rsid w:val="006E7AFF"/>
    <w:rsid w:val="00842E3A"/>
    <w:rsid w:val="00883D5B"/>
    <w:rsid w:val="008D37F9"/>
    <w:rsid w:val="008E7217"/>
    <w:rsid w:val="00A75644"/>
    <w:rsid w:val="00AC2A94"/>
    <w:rsid w:val="00B20EF4"/>
    <w:rsid w:val="00B3591E"/>
    <w:rsid w:val="00B62DDD"/>
    <w:rsid w:val="00B75247"/>
    <w:rsid w:val="00C41238"/>
    <w:rsid w:val="00CF7AA0"/>
    <w:rsid w:val="00DE6923"/>
    <w:rsid w:val="00E32D8E"/>
    <w:rsid w:val="00EA44BA"/>
    <w:rsid w:val="00F26FFF"/>
    <w:rsid w:val="00F4124E"/>
    <w:rsid w:val="00FE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6C7151"/>
  <w15:chartTrackingRefBased/>
  <w15:docId w15:val="{9ECCD1CB-9A29-4F3D-B1A7-BB10EAF74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1B13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13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13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13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13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13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13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13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13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B130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20">
    <w:name w:val="見出し 2 (文字)"/>
    <w:basedOn w:val="a0"/>
    <w:link w:val="2"/>
    <w:uiPriority w:val="9"/>
    <w:semiHidden/>
    <w:rsid w:val="001B130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30">
    <w:name w:val="見出し 3 (文字)"/>
    <w:basedOn w:val="a0"/>
    <w:link w:val="3"/>
    <w:uiPriority w:val="9"/>
    <w:semiHidden/>
    <w:rsid w:val="001B1306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40">
    <w:name w:val="見出し 4 (文字)"/>
    <w:basedOn w:val="a0"/>
    <w:link w:val="4"/>
    <w:uiPriority w:val="9"/>
    <w:semiHidden/>
    <w:rsid w:val="001B1306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50">
    <w:name w:val="見出し 5 (文字)"/>
    <w:basedOn w:val="a0"/>
    <w:link w:val="5"/>
    <w:uiPriority w:val="9"/>
    <w:semiHidden/>
    <w:rsid w:val="001B1306"/>
    <w:rPr>
      <w:rFonts w:eastAsiaTheme="majorEastAsia" w:cstheme="majorBidi"/>
      <w:color w:val="0F4761" w:themeColor="accent1" w:themeShade="BF"/>
      <w:lang w:val="en-GB"/>
    </w:rPr>
  </w:style>
  <w:style w:type="character" w:customStyle="1" w:styleId="60">
    <w:name w:val="見出し 6 (文字)"/>
    <w:basedOn w:val="a0"/>
    <w:link w:val="6"/>
    <w:uiPriority w:val="9"/>
    <w:semiHidden/>
    <w:rsid w:val="001B1306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70">
    <w:name w:val="見出し 7 (文字)"/>
    <w:basedOn w:val="a0"/>
    <w:link w:val="7"/>
    <w:uiPriority w:val="9"/>
    <w:semiHidden/>
    <w:rsid w:val="001B1306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見出し 8 (文字)"/>
    <w:basedOn w:val="a0"/>
    <w:link w:val="8"/>
    <w:uiPriority w:val="9"/>
    <w:semiHidden/>
    <w:rsid w:val="001B1306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90">
    <w:name w:val="見出し 9 (文字)"/>
    <w:basedOn w:val="a0"/>
    <w:link w:val="9"/>
    <w:uiPriority w:val="9"/>
    <w:semiHidden/>
    <w:rsid w:val="001B1306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1B13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B1306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1B13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B1306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1B13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B1306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1B130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B130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B13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B1306"/>
    <w:rPr>
      <w:i/>
      <w:iCs/>
      <w:color w:val="0F4761" w:themeColor="accent1" w:themeShade="BF"/>
      <w:lang w:val="en-GB"/>
    </w:rPr>
  </w:style>
  <w:style w:type="character" w:styleId="24">
    <w:name w:val="Intense Reference"/>
    <w:basedOn w:val="a0"/>
    <w:uiPriority w:val="32"/>
    <w:qFormat/>
    <w:rsid w:val="001B1306"/>
    <w:rPr>
      <w:b/>
      <w:bCs/>
      <w:smallCaps/>
      <w:color w:val="0F4761" w:themeColor="accent1" w:themeShade="BF"/>
      <w:spacing w:val="5"/>
    </w:rPr>
  </w:style>
  <w:style w:type="paragraph" w:styleId="aa">
    <w:name w:val="Revision"/>
    <w:hidden/>
    <w:uiPriority w:val="99"/>
    <w:semiHidden/>
    <w:rsid w:val="001B1306"/>
    <w:pPr>
      <w:spacing w:after="0" w:line="240" w:lineRule="auto"/>
    </w:pPr>
    <w:rPr>
      <w:lang w:val="en-GB"/>
    </w:rPr>
  </w:style>
  <w:style w:type="character" w:styleId="ab">
    <w:name w:val="annotation reference"/>
    <w:basedOn w:val="a0"/>
    <w:uiPriority w:val="99"/>
    <w:semiHidden/>
    <w:unhideWhenUsed/>
    <w:rsid w:val="00294BE1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94BE1"/>
    <w:pPr>
      <w:spacing w:line="240" w:lineRule="auto"/>
    </w:pPr>
    <w:rPr>
      <w:sz w:val="20"/>
      <w:szCs w:val="20"/>
    </w:rPr>
  </w:style>
  <w:style w:type="character" w:customStyle="1" w:styleId="ad">
    <w:name w:val="コメント文字列 (文字)"/>
    <w:basedOn w:val="a0"/>
    <w:link w:val="ac"/>
    <w:uiPriority w:val="99"/>
    <w:semiHidden/>
    <w:rsid w:val="00294BE1"/>
    <w:rPr>
      <w:sz w:val="20"/>
      <w:szCs w:val="20"/>
      <w:lang w:val="en-GB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94BE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4BE1"/>
    <w:rPr>
      <w:b/>
      <w:bCs/>
      <w:sz w:val="20"/>
      <w:szCs w:val="20"/>
      <w:lang w:val="en-GB"/>
    </w:rPr>
  </w:style>
  <w:style w:type="paragraph" w:styleId="af0">
    <w:name w:val="header"/>
    <w:basedOn w:val="a"/>
    <w:link w:val="af1"/>
    <w:uiPriority w:val="99"/>
    <w:unhideWhenUsed/>
    <w:rsid w:val="006E7AFF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6E7AFF"/>
    <w:rPr>
      <w:lang w:val="en-GB"/>
    </w:rPr>
  </w:style>
  <w:style w:type="paragraph" w:styleId="af2">
    <w:name w:val="footer"/>
    <w:basedOn w:val="a"/>
    <w:link w:val="af3"/>
    <w:uiPriority w:val="99"/>
    <w:unhideWhenUsed/>
    <w:rsid w:val="006E7AFF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6E7AF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Noriyuki Kimura</dc:creator>
  <cp:lastModifiedBy>Noriyuki Kimura</cp:lastModifiedBy>
  <cp:revision>2</cp:revision>
  <cp:lastPrinted>2024-04-19T05:04:00Z</cp:lastPrinted>
  <dcterms:created xsi:type="dcterms:W3CDTF">2024-05-03T01:15:00Z</dcterms:created>
  <dcterms:modified xsi:type="dcterms:W3CDTF">2024-05-03T01:15:00Z</dcterms:modified>
</cp:coreProperties>
</file>