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1C0B5" w14:textId="77777777" w:rsidR="00864389" w:rsidRDefault="00864389" w:rsidP="004A30EE">
      <w:pPr>
        <w:spacing w:before="240"/>
        <w:rPr>
          <w:b/>
          <w:bCs/>
          <w:lang w:val="en-CA"/>
        </w:rPr>
      </w:pPr>
      <w:r>
        <w:rPr>
          <w:b/>
          <w:bCs/>
          <w:noProof/>
          <w:lang w:val="en-CA"/>
        </w:rPr>
        <w:drawing>
          <wp:inline distT="0" distB="0" distL="0" distR="0" wp14:anchorId="3DEB9DB9" wp14:editId="6550DBC7">
            <wp:extent cx="5210266" cy="6632568"/>
            <wp:effectExtent l="0" t="0" r="0" b="0"/>
            <wp:docPr id="8" name="Picture 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89" t="6067" r="3816" b="16918"/>
                    <a:stretch/>
                  </pic:blipFill>
                  <pic:spPr bwMode="auto">
                    <a:xfrm>
                      <a:off x="0" y="0"/>
                      <a:ext cx="5210938" cy="6633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A4ECDD" w14:textId="6A0C4937" w:rsidR="004A30EE" w:rsidRDefault="004A30EE" w:rsidP="004A30EE">
      <w:pPr>
        <w:spacing w:before="240"/>
        <w:rPr>
          <w:lang w:val="en-CA"/>
        </w:rPr>
      </w:pPr>
      <w:r>
        <w:rPr>
          <w:b/>
          <w:bCs/>
          <w:lang w:val="en-CA"/>
        </w:rPr>
        <w:t>Supplementary Figure 1</w:t>
      </w:r>
      <w:r w:rsidRPr="004A30EE">
        <w:rPr>
          <w:b/>
          <w:bCs/>
          <w:lang w:val="en-CA"/>
        </w:rPr>
        <w:t xml:space="preserve">. Methylation arrays yielded high quality samples with few low-quality probes (A) </w:t>
      </w:r>
      <w:r w:rsidRPr="004A30EE">
        <w:rPr>
          <w:lang w:val="en-CA"/>
        </w:rPr>
        <w:t xml:space="preserve">Mean detection P values shown across all samples. </w:t>
      </w:r>
      <w:r w:rsidRPr="004A30EE">
        <w:rPr>
          <w:b/>
          <w:bCs/>
          <w:lang w:val="en-CA"/>
        </w:rPr>
        <w:t xml:space="preserve">(B) </w:t>
      </w:r>
      <w:r w:rsidRPr="004A30EE">
        <w:rPr>
          <w:lang w:val="en-CA"/>
        </w:rPr>
        <w:t xml:space="preserve">Quality control plot shown for all samples. </w:t>
      </w:r>
      <w:r w:rsidRPr="004A30EE">
        <w:rPr>
          <w:b/>
          <w:bCs/>
          <w:lang w:val="en-CA"/>
        </w:rPr>
        <w:t xml:space="preserve">(C) </w:t>
      </w:r>
      <w:r w:rsidRPr="004A30EE">
        <w:rPr>
          <w:lang w:val="en-CA"/>
        </w:rPr>
        <w:t xml:space="preserve">Comparison of Beta Values to M values for all samples, coloured by cell line. </w:t>
      </w:r>
      <w:r w:rsidRPr="004A30EE">
        <w:rPr>
          <w:b/>
          <w:bCs/>
          <w:lang w:val="en-CA"/>
        </w:rPr>
        <w:t xml:space="preserve">(D) </w:t>
      </w:r>
      <w:r w:rsidRPr="004A30EE">
        <w:rPr>
          <w:lang w:val="en-CA"/>
        </w:rPr>
        <w:t xml:space="preserve">Comparison of raw beta values to SWAN normalised beta values for all samples, coloured by concentration of azacytidine. </w:t>
      </w:r>
    </w:p>
    <w:p w14:paraId="4F18F553" w14:textId="77777777" w:rsidR="00864389" w:rsidRDefault="00864389" w:rsidP="004A30EE">
      <w:pPr>
        <w:spacing w:before="240"/>
        <w:rPr>
          <w:b/>
          <w:bCs/>
          <w:lang w:val="en-CA"/>
        </w:rPr>
      </w:pPr>
      <w:r>
        <w:rPr>
          <w:b/>
          <w:bCs/>
          <w:noProof/>
          <w:lang w:val="en-CA"/>
        </w:rPr>
        <w:lastRenderedPageBreak/>
        <w:drawing>
          <wp:inline distT="0" distB="0" distL="0" distR="0" wp14:anchorId="2B6D897F" wp14:editId="514CE72D">
            <wp:extent cx="3178266" cy="2307466"/>
            <wp:effectExtent l="0" t="0" r="0" b="4445"/>
            <wp:docPr id="5" name="Picture 5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application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90" t="8426" r="38525" b="64781"/>
                    <a:stretch/>
                  </pic:blipFill>
                  <pic:spPr bwMode="auto">
                    <a:xfrm>
                      <a:off x="0" y="0"/>
                      <a:ext cx="3178587" cy="23076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ADD976" w14:textId="2C8A4D0E" w:rsidR="00864389" w:rsidRPr="00864389" w:rsidRDefault="004A30EE" w:rsidP="007127CB">
      <w:pPr>
        <w:spacing w:before="240"/>
        <w:rPr>
          <w:lang w:val="en-CA"/>
        </w:rPr>
      </w:pPr>
      <w:r>
        <w:rPr>
          <w:b/>
          <w:bCs/>
          <w:lang w:val="en-CA"/>
        </w:rPr>
        <w:t>Supplementary Figure 2</w:t>
      </w:r>
      <w:r w:rsidRPr="004A30EE">
        <w:rPr>
          <w:lang w:val="en-CA"/>
        </w:rPr>
        <w:t>. Hierarchical clustering of differentially methylated probes for 4 cell lines (Mel270, OMM2.5, MP41, and MP46, labeled on graph) compared to 80 primary UM cases from the TCGA database using SWAN normalized Beta Values, with dark red indicating a locus is fully hypermethylated and dark blue indicating a locus is fully hypomethylated.</w:t>
      </w:r>
    </w:p>
    <w:p w14:paraId="729737C8" w14:textId="77777777" w:rsidR="00864389" w:rsidRDefault="00864389" w:rsidP="007127CB">
      <w:pPr>
        <w:spacing w:before="240"/>
        <w:rPr>
          <w:b/>
          <w:bCs/>
          <w:lang w:val="en-CA"/>
        </w:rPr>
      </w:pPr>
    </w:p>
    <w:p w14:paraId="0017EA87" w14:textId="3120BEC1" w:rsidR="000A48DD" w:rsidRDefault="00692771" w:rsidP="007127CB">
      <w:pPr>
        <w:spacing w:before="240"/>
        <w:rPr>
          <w:b/>
          <w:bCs/>
          <w:lang w:val="en-CA"/>
        </w:rPr>
      </w:pPr>
      <w:r w:rsidRPr="00692771">
        <w:rPr>
          <w:noProof/>
        </w:rPr>
        <w:t xml:space="preserve"> </w:t>
      </w:r>
      <w:r>
        <w:rPr>
          <w:noProof/>
        </w:rPr>
        <w:drawing>
          <wp:inline distT="0" distB="0" distL="0" distR="0" wp14:anchorId="34EC66BB" wp14:editId="63DDEE3E">
            <wp:extent cx="4358936" cy="3133334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61748" cy="313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C03E7" w14:textId="1C519042" w:rsidR="007127CB" w:rsidRDefault="007127CB" w:rsidP="007127CB">
      <w:pPr>
        <w:spacing w:before="240"/>
        <w:rPr>
          <w:lang w:val="en-CA"/>
        </w:rPr>
      </w:pPr>
      <w:r>
        <w:rPr>
          <w:b/>
          <w:bCs/>
          <w:lang w:val="en-CA"/>
        </w:rPr>
        <w:t>Supplementary Figure 3.</w:t>
      </w:r>
      <w:r w:rsidRPr="007127CB">
        <w:rPr>
          <w:lang w:val="en-CA"/>
        </w:rPr>
        <w:t xml:space="preserve"> Uniform Manifold Approximation and Projection (UMAP) along the YZ axis, showing the differences in this dimension between genomic DNA from the 4 cell lines (MP41, MP46, Mel270, and OMM2.5) for 80 UM patients from the TCGA </w:t>
      </w:r>
      <w:proofErr w:type="gramStart"/>
      <w:r w:rsidRPr="007127CB">
        <w:rPr>
          <w:lang w:val="en-CA"/>
        </w:rPr>
        <w:t>database</w:t>
      </w:r>
      <w:proofErr w:type="gramEnd"/>
      <w:r w:rsidRPr="007127CB">
        <w:rPr>
          <w:lang w:val="en-CA"/>
        </w:rPr>
        <w:t xml:space="preserve"> </w:t>
      </w:r>
    </w:p>
    <w:p w14:paraId="31FDD6CC" w14:textId="77777777" w:rsidR="000A48DD" w:rsidRDefault="000A48DD" w:rsidP="007127CB">
      <w:pPr>
        <w:spacing w:before="240"/>
        <w:rPr>
          <w:lang w:val="en-CA"/>
        </w:rPr>
      </w:pPr>
    </w:p>
    <w:p w14:paraId="3B5B1583" w14:textId="77777777" w:rsidR="000A48DD" w:rsidRDefault="000A48DD" w:rsidP="007127CB">
      <w:pPr>
        <w:spacing w:before="240"/>
        <w:rPr>
          <w:b/>
          <w:bCs/>
          <w:lang w:val="en-CA"/>
        </w:rPr>
      </w:pPr>
      <w:r>
        <w:rPr>
          <w:b/>
          <w:bCs/>
          <w:noProof/>
          <w:lang w:val="en-CA"/>
        </w:rPr>
        <w:lastRenderedPageBreak/>
        <w:drawing>
          <wp:inline distT="0" distB="0" distL="0" distR="0" wp14:anchorId="138F1DE5" wp14:editId="34134AB3">
            <wp:extent cx="5855335" cy="3178629"/>
            <wp:effectExtent l="0" t="0" r="0" b="0"/>
            <wp:docPr id="3" name="Picture 3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, Word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40" b="56355"/>
                    <a:stretch/>
                  </pic:blipFill>
                  <pic:spPr bwMode="auto">
                    <a:xfrm>
                      <a:off x="0" y="0"/>
                      <a:ext cx="5855335" cy="3178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63BA98" w14:textId="37F504EB" w:rsidR="000A48DD" w:rsidRDefault="007127CB" w:rsidP="007127CB">
      <w:pPr>
        <w:spacing w:before="240"/>
        <w:rPr>
          <w:lang w:val="en-CA"/>
        </w:rPr>
      </w:pPr>
      <w:r>
        <w:rPr>
          <w:b/>
          <w:bCs/>
          <w:lang w:val="en-CA"/>
        </w:rPr>
        <w:t>Supplementary Figure 4</w:t>
      </w:r>
      <w:r w:rsidRPr="007127CB">
        <w:rPr>
          <w:lang w:val="en-CA"/>
        </w:rPr>
        <w:t xml:space="preserve">. Significantly differentially methylated regions across the genome based on dose for all samples, with sample type and cell line as covariates with </w:t>
      </w:r>
      <w:proofErr w:type="spellStart"/>
      <w:r w:rsidRPr="007127CB">
        <w:rPr>
          <w:lang w:val="en-CA"/>
        </w:rPr>
        <w:t>venn</w:t>
      </w:r>
      <w:proofErr w:type="spellEnd"/>
      <w:r w:rsidRPr="007127CB">
        <w:rPr>
          <w:lang w:val="en-CA"/>
        </w:rPr>
        <w:t xml:space="preserve"> diagrams for the genomic locations found to be significantly differentially methylated for </w:t>
      </w:r>
      <w:r w:rsidRPr="007127CB">
        <w:rPr>
          <w:b/>
          <w:bCs/>
          <w:lang w:val="en-CA"/>
        </w:rPr>
        <w:t xml:space="preserve">(A) </w:t>
      </w:r>
      <w:r w:rsidRPr="007127CB">
        <w:rPr>
          <w:lang w:val="en-CA"/>
        </w:rPr>
        <w:t xml:space="preserve">the Mel270 and OMM2.5 cell lines and </w:t>
      </w:r>
      <w:r w:rsidRPr="007127CB">
        <w:rPr>
          <w:b/>
          <w:bCs/>
          <w:lang w:val="en-CA"/>
        </w:rPr>
        <w:t xml:space="preserve">(B) </w:t>
      </w:r>
      <w:r w:rsidRPr="007127CB">
        <w:rPr>
          <w:lang w:val="en-CA"/>
        </w:rPr>
        <w:t xml:space="preserve">The MP41 and MP46 cell lines, and </w:t>
      </w:r>
      <w:r w:rsidRPr="007127CB">
        <w:rPr>
          <w:b/>
          <w:bCs/>
          <w:lang w:val="en-CA"/>
        </w:rPr>
        <w:t xml:space="preserve">(C) </w:t>
      </w:r>
      <w:r w:rsidRPr="007127CB">
        <w:rPr>
          <w:lang w:val="en-CA"/>
        </w:rPr>
        <w:t xml:space="preserve">All cell lines using a lower </w:t>
      </w:r>
      <w:proofErr w:type="spellStart"/>
      <w:r w:rsidRPr="007127CB">
        <w:rPr>
          <w:lang w:val="en-CA"/>
        </w:rPr>
        <w:t>cutoff</w:t>
      </w:r>
      <w:proofErr w:type="spellEnd"/>
      <w:r w:rsidRPr="007127CB">
        <w:rPr>
          <w:lang w:val="en-CA"/>
        </w:rPr>
        <w:t xml:space="preserve"> value.</w:t>
      </w:r>
    </w:p>
    <w:p w14:paraId="4DCA88F5" w14:textId="4F2C1229" w:rsidR="00692771" w:rsidRDefault="00692771" w:rsidP="007127CB">
      <w:pPr>
        <w:spacing w:before="240"/>
        <w:rPr>
          <w:lang w:val="en-CA"/>
        </w:rPr>
      </w:pPr>
      <w:r w:rsidRPr="00692771">
        <w:rPr>
          <w:noProof/>
        </w:rPr>
        <w:drawing>
          <wp:inline distT="0" distB="0" distL="0" distR="0" wp14:anchorId="68C18655" wp14:editId="325835F5">
            <wp:extent cx="6208395" cy="3000375"/>
            <wp:effectExtent l="0" t="0" r="1905" b="0"/>
            <wp:docPr id="26" name="Picture 2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Char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1ACF9" w14:textId="0EDAE80C" w:rsidR="00692771" w:rsidRDefault="00692771" w:rsidP="007127CB">
      <w:pPr>
        <w:spacing w:before="240"/>
        <w:rPr>
          <w:lang w:val="en-CA"/>
        </w:rPr>
      </w:pPr>
      <w:r>
        <w:rPr>
          <w:b/>
          <w:bCs/>
          <w:lang w:val="en-CA"/>
        </w:rPr>
        <w:t xml:space="preserve">Supplementary Figure 5. </w:t>
      </w:r>
      <w:r>
        <w:rPr>
          <w:lang w:val="en-CA"/>
        </w:rPr>
        <w:t xml:space="preserve">Density plot of region widths for differentially methylated regions in </w:t>
      </w:r>
      <w:r w:rsidR="00E22F17">
        <w:rPr>
          <w:lang w:val="en-CA"/>
        </w:rPr>
        <w:t>analysis of</w:t>
      </w:r>
      <w:r>
        <w:rPr>
          <w:lang w:val="en-CA"/>
        </w:rPr>
        <w:t xml:space="preserve"> DMRs </w:t>
      </w:r>
      <w:r w:rsidR="002F4CA4">
        <w:rPr>
          <w:lang w:val="en-CA"/>
        </w:rPr>
        <w:t>for different treatment comparisons.</w:t>
      </w:r>
    </w:p>
    <w:p w14:paraId="6FE597A1" w14:textId="05400D36" w:rsidR="0012681D" w:rsidRDefault="0012681D" w:rsidP="007127CB">
      <w:pPr>
        <w:spacing w:before="240"/>
        <w:rPr>
          <w:lang w:val="en-CA"/>
        </w:rPr>
      </w:pPr>
      <w:r w:rsidRPr="0012681D"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0EC58C4A" wp14:editId="444F233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922520" cy="7289113"/>
            <wp:effectExtent l="0" t="0" r="5080" b="1270"/>
            <wp:wrapTight wrapText="bothSides">
              <wp:wrapPolygon edited="0">
                <wp:start x="167" y="0"/>
                <wp:lineTo x="167" y="21566"/>
                <wp:lineTo x="21567" y="21566"/>
                <wp:lineTo x="21567" y="0"/>
                <wp:lineTo x="167" y="0"/>
              </wp:wrapPolygon>
            </wp:wrapTight>
            <wp:docPr id="28" name="Picture 28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Chart, histogram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6701" cy="72953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80A7BF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576222A4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724C6E13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07B40B63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37383100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3C9020D5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718B9E9B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73250D6A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31CE9EDE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56C2344B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542169BF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30C5E9C7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42555C23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5F8C1DDE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6DEE0A80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3E480E7B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272514B0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4EE9F932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6E780323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399E33D9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4A5F0115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16512273" w14:textId="77777777" w:rsidR="00A3278D" w:rsidRDefault="00A3278D" w:rsidP="007127CB">
      <w:pPr>
        <w:spacing w:before="240"/>
        <w:rPr>
          <w:b/>
          <w:bCs/>
          <w:lang w:val="en-CA"/>
        </w:rPr>
      </w:pPr>
    </w:p>
    <w:p w14:paraId="43D1E9A7" w14:textId="39B95726" w:rsidR="0012681D" w:rsidRDefault="0012681D" w:rsidP="007127CB">
      <w:pPr>
        <w:spacing w:before="240"/>
        <w:rPr>
          <w:szCs w:val="24"/>
          <w:lang w:val="en-CA"/>
        </w:rPr>
      </w:pPr>
      <w:r>
        <w:rPr>
          <w:b/>
          <w:bCs/>
          <w:lang w:val="en-CA"/>
        </w:rPr>
        <w:t xml:space="preserve">Supplementary Figure 6. </w:t>
      </w:r>
      <w:r>
        <w:rPr>
          <w:lang w:val="en-CA"/>
        </w:rPr>
        <w:t>Beta values for significantly differentially methylated probes across cell lines (</w:t>
      </w:r>
      <w:proofErr w:type="spellStart"/>
      <w:r>
        <w:rPr>
          <w:lang w:val="en-CA"/>
        </w:rPr>
        <w:t>ChAMP</w:t>
      </w:r>
      <w:proofErr w:type="spellEnd"/>
      <w:r>
        <w:rPr>
          <w:lang w:val="en-CA"/>
        </w:rPr>
        <w:t xml:space="preserve"> analysis) in untreated samples vs. samples treated with 20</w:t>
      </w:r>
      <w:r w:rsidRPr="004C7D76">
        <w:rPr>
          <w:szCs w:val="24"/>
          <w:lang w:val="en-CA"/>
        </w:rPr>
        <w:t>μM</w:t>
      </w:r>
      <w:r>
        <w:rPr>
          <w:szCs w:val="24"/>
          <w:lang w:val="en-CA"/>
        </w:rPr>
        <w:t xml:space="preserve"> azacytidine.</w:t>
      </w:r>
    </w:p>
    <w:p w14:paraId="46EB7497" w14:textId="09415979" w:rsidR="00A3278D" w:rsidRDefault="00A3278D" w:rsidP="004A30EE">
      <w:pPr>
        <w:spacing w:before="240"/>
        <w:rPr>
          <w:szCs w:val="24"/>
          <w:lang w:val="en-CA"/>
        </w:rPr>
      </w:pPr>
    </w:p>
    <w:p w14:paraId="2B1221BE" w14:textId="77777777" w:rsidR="00A3278D" w:rsidRDefault="00A3278D" w:rsidP="004A30EE">
      <w:pPr>
        <w:spacing w:before="240"/>
        <w:rPr>
          <w:lang w:val="en-CA"/>
        </w:rPr>
      </w:pPr>
    </w:p>
    <w:p w14:paraId="48AEFB19" w14:textId="4FD385F4" w:rsidR="00A3278D" w:rsidRDefault="00A3278D" w:rsidP="004A30EE">
      <w:pPr>
        <w:spacing w:before="240"/>
        <w:rPr>
          <w:lang w:val="en-CA"/>
        </w:rPr>
      </w:pPr>
      <w:r w:rsidRPr="0012681D">
        <w:rPr>
          <w:noProof/>
        </w:rPr>
        <w:drawing>
          <wp:anchor distT="0" distB="0" distL="114300" distR="114300" simplePos="0" relativeHeight="251659264" behindDoc="1" locked="0" layoutInCell="1" allowOverlap="1" wp14:anchorId="73D9E86D" wp14:editId="0CCDE9A9">
            <wp:simplePos x="0" y="0"/>
            <wp:positionH relativeFrom="column">
              <wp:posOffset>45720</wp:posOffset>
            </wp:positionH>
            <wp:positionV relativeFrom="paragraph">
              <wp:posOffset>0</wp:posOffset>
            </wp:positionV>
            <wp:extent cx="6111240" cy="5178425"/>
            <wp:effectExtent l="0" t="0" r="0" b="3175"/>
            <wp:wrapTight wrapText="bothSides">
              <wp:wrapPolygon edited="0">
                <wp:start x="135" y="0"/>
                <wp:lineTo x="135" y="21560"/>
                <wp:lineTo x="21546" y="21560"/>
                <wp:lineTo x="21546" y="0"/>
                <wp:lineTo x="135" y="0"/>
              </wp:wrapPolygon>
            </wp:wrapTight>
            <wp:docPr id="32" name="Picture 32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Diagram&#10;&#10;Description automatically generated with medium confidenc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1240" cy="5178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53C252" w14:textId="561118F6" w:rsidR="004A30EE" w:rsidRPr="004A30EE" w:rsidRDefault="007127CB" w:rsidP="004A30EE">
      <w:pPr>
        <w:spacing w:before="240"/>
        <w:rPr>
          <w:lang w:val="en-CA"/>
        </w:rPr>
      </w:pPr>
      <w:r>
        <w:rPr>
          <w:b/>
          <w:bCs/>
          <w:lang w:val="en-CA"/>
        </w:rPr>
        <w:t xml:space="preserve">Supplementary Figure </w:t>
      </w:r>
      <w:r w:rsidR="00692771">
        <w:rPr>
          <w:b/>
          <w:bCs/>
          <w:lang w:val="en-CA"/>
        </w:rPr>
        <w:t>7</w:t>
      </w:r>
      <w:r w:rsidRPr="007127CB">
        <w:rPr>
          <w:b/>
          <w:bCs/>
          <w:lang w:val="en-CA"/>
        </w:rPr>
        <w:t>.</w:t>
      </w:r>
      <w:r w:rsidRPr="007127CB">
        <w:rPr>
          <w:lang w:val="en-CA"/>
        </w:rPr>
        <w:t xml:space="preserve"> Significantly differentially methylated regions across the genome based on dose for all samples, with sample type and cell line as covariates with </w:t>
      </w:r>
      <w:proofErr w:type="spellStart"/>
      <w:r w:rsidRPr="007127CB">
        <w:rPr>
          <w:lang w:val="en-CA"/>
        </w:rPr>
        <w:t>venn</w:t>
      </w:r>
      <w:proofErr w:type="spellEnd"/>
      <w:r w:rsidRPr="007127CB">
        <w:rPr>
          <w:lang w:val="en-CA"/>
        </w:rPr>
        <w:t xml:space="preserve"> diagrams for the genomic locations found to be significantly differentially methylated between cell-free and genomic DNA based on A) chromosomal location and B) type of genomic region</w:t>
      </w:r>
      <w:r w:rsidR="00D95337">
        <w:rPr>
          <w:lang w:val="en-CA"/>
        </w:rPr>
        <w:t>.</w:t>
      </w:r>
      <w:r w:rsidRPr="007127CB">
        <w:rPr>
          <w:lang w:val="en-CA"/>
        </w:rPr>
        <w:t xml:space="preserve"> </w:t>
      </w:r>
    </w:p>
    <w:sectPr w:rsidR="004A30EE" w:rsidRPr="004A30EE" w:rsidSect="00A3278D">
      <w:headerReference w:type="even" r:id="rId15"/>
      <w:footerReference w:type="even" r:id="rId16"/>
      <w:footerReference w:type="default" r:id="rId17"/>
      <w:headerReference w:type="first" r:id="rId18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76A8D" w14:textId="77777777" w:rsidR="00936A7A" w:rsidRDefault="00936A7A" w:rsidP="00117666">
      <w:pPr>
        <w:spacing w:after="0"/>
      </w:pPr>
      <w:r>
        <w:separator/>
      </w:r>
    </w:p>
  </w:endnote>
  <w:endnote w:type="continuationSeparator" w:id="0">
    <w:p w14:paraId="49E174DC" w14:textId="77777777" w:rsidR="00936A7A" w:rsidRDefault="00936A7A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EE2288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EE2288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&#13;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EE2288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EE2288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&#13;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66E1D7" w14:textId="77777777" w:rsidR="00936A7A" w:rsidRDefault="00936A7A" w:rsidP="00117666">
      <w:pPr>
        <w:spacing w:after="0"/>
      </w:pPr>
      <w:r>
        <w:separator/>
      </w:r>
    </w:p>
  </w:footnote>
  <w:footnote w:type="continuationSeparator" w:id="0">
    <w:p w14:paraId="5C701D4D" w14:textId="77777777" w:rsidR="00936A7A" w:rsidRDefault="00936A7A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EE2288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4F1A506E" w:rsidR="00EE2288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316299817">
    <w:abstractNumId w:val="0"/>
  </w:num>
  <w:num w:numId="2" w16cid:durableId="1630357603">
    <w:abstractNumId w:val="4"/>
  </w:num>
  <w:num w:numId="3" w16cid:durableId="1964578148">
    <w:abstractNumId w:val="1"/>
  </w:num>
  <w:num w:numId="4" w16cid:durableId="490407677">
    <w:abstractNumId w:val="5"/>
  </w:num>
  <w:num w:numId="5" w16cid:durableId="15399774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88859999">
    <w:abstractNumId w:val="3"/>
  </w:num>
  <w:num w:numId="7" w16cid:durableId="1196305706">
    <w:abstractNumId w:val="6"/>
  </w:num>
  <w:num w:numId="8" w16cid:durableId="1728410223">
    <w:abstractNumId w:val="6"/>
  </w:num>
  <w:num w:numId="9" w16cid:durableId="282922766">
    <w:abstractNumId w:val="6"/>
  </w:num>
  <w:num w:numId="10" w16cid:durableId="884097990">
    <w:abstractNumId w:val="6"/>
  </w:num>
  <w:num w:numId="11" w16cid:durableId="1204827278">
    <w:abstractNumId w:val="6"/>
  </w:num>
  <w:num w:numId="12" w16cid:durableId="374932099">
    <w:abstractNumId w:val="6"/>
  </w:num>
  <w:num w:numId="13" w16cid:durableId="1095058143">
    <w:abstractNumId w:val="3"/>
  </w:num>
  <w:num w:numId="14" w16cid:durableId="1450588384">
    <w:abstractNumId w:val="2"/>
  </w:num>
  <w:num w:numId="15" w16cid:durableId="1058242319">
    <w:abstractNumId w:val="2"/>
  </w:num>
  <w:num w:numId="16" w16cid:durableId="1074086333">
    <w:abstractNumId w:val="2"/>
  </w:num>
  <w:num w:numId="17" w16cid:durableId="312829894">
    <w:abstractNumId w:val="2"/>
  </w:num>
  <w:num w:numId="18" w16cid:durableId="54747027">
    <w:abstractNumId w:val="2"/>
  </w:num>
  <w:num w:numId="19" w16cid:durableId="13934327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0A48DD"/>
    <w:rsid w:val="00105FD9"/>
    <w:rsid w:val="00117666"/>
    <w:rsid w:val="0012681D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2F4CA4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4A30EE"/>
    <w:rsid w:val="00517A89"/>
    <w:rsid w:val="005250F2"/>
    <w:rsid w:val="005652C6"/>
    <w:rsid w:val="00593EEA"/>
    <w:rsid w:val="005A5EEE"/>
    <w:rsid w:val="005D43FC"/>
    <w:rsid w:val="006375C7"/>
    <w:rsid w:val="00654E8F"/>
    <w:rsid w:val="00660D05"/>
    <w:rsid w:val="006820B1"/>
    <w:rsid w:val="00692771"/>
    <w:rsid w:val="00697A4A"/>
    <w:rsid w:val="006B7D14"/>
    <w:rsid w:val="00701727"/>
    <w:rsid w:val="0070566C"/>
    <w:rsid w:val="007127CB"/>
    <w:rsid w:val="00714C50"/>
    <w:rsid w:val="00725A7D"/>
    <w:rsid w:val="007501BE"/>
    <w:rsid w:val="00790BB3"/>
    <w:rsid w:val="007C206C"/>
    <w:rsid w:val="00817DD6"/>
    <w:rsid w:val="0083759F"/>
    <w:rsid w:val="00864389"/>
    <w:rsid w:val="00885156"/>
    <w:rsid w:val="008C41EE"/>
    <w:rsid w:val="008F54AE"/>
    <w:rsid w:val="009151AA"/>
    <w:rsid w:val="0093429D"/>
    <w:rsid w:val="00936A7A"/>
    <w:rsid w:val="0094322A"/>
    <w:rsid w:val="00943573"/>
    <w:rsid w:val="00964134"/>
    <w:rsid w:val="00970F7D"/>
    <w:rsid w:val="00994A3D"/>
    <w:rsid w:val="009C2B12"/>
    <w:rsid w:val="00A174D9"/>
    <w:rsid w:val="00A3278D"/>
    <w:rsid w:val="00AA4D24"/>
    <w:rsid w:val="00AB6103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CE6BE8"/>
    <w:rsid w:val="00D060CF"/>
    <w:rsid w:val="00D95337"/>
    <w:rsid w:val="00DB59C3"/>
    <w:rsid w:val="00DC259A"/>
    <w:rsid w:val="00DE23E8"/>
    <w:rsid w:val="00E22F17"/>
    <w:rsid w:val="00E52377"/>
    <w:rsid w:val="00E537AD"/>
    <w:rsid w:val="00E64E17"/>
    <w:rsid w:val="00E866C9"/>
    <w:rsid w:val="00E9680F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771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pn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0</TotalTime>
  <Pages>5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Julia Burnier</cp:lastModifiedBy>
  <cp:revision>2</cp:revision>
  <cp:lastPrinted>2022-11-04T02:27:00Z</cp:lastPrinted>
  <dcterms:created xsi:type="dcterms:W3CDTF">2024-05-02T17:44:00Z</dcterms:created>
  <dcterms:modified xsi:type="dcterms:W3CDTF">2024-05-02T17:44:00Z</dcterms:modified>
</cp:coreProperties>
</file>