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94707" w:rsidRPr="00755438" w:rsidRDefault="00694707" w:rsidP="00694707">
      <w:pPr>
        <w:spacing w:line="360" w:lineRule="auto"/>
        <w:jc w:val="both"/>
        <w:rPr>
          <w:rFonts w:ascii="Times New Roman" w:hAnsi="Times New Roman" w:cs="Times New Roman"/>
          <w:b/>
          <w:bCs/>
          <w:lang w:val="en-US"/>
        </w:rPr>
      </w:pPr>
      <w:r w:rsidRPr="00755438">
        <w:rPr>
          <w:rFonts w:ascii="Times New Roman" w:hAnsi="Times New Roman" w:cs="Times New Roman"/>
          <w:b/>
          <w:bCs/>
          <w:lang w:val="en-US"/>
        </w:rPr>
        <w:t xml:space="preserve">Appendix </w:t>
      </w:r>
    </w:p>
    <w:p w:rsidR="00694707" w:rsidRPr="00755438" w:rsidRDefault="00694707" w:rsidP="00694707">
      <w:pPr>
        <w:spacing w:line="360" w:lineRule="auto"/>
        <w:jc w:val="both"/>
        <w:rPr>
          <w:rFonts w:ascii="Times New Roman" w:hAnsi="Times New Roman" w:cs="Times New Roman"/>
          <w:lang w:val="en-US"/>
        </w:rPr>
      </w:pPr>
      <w:r w:rsidRPr="00755438">
        <w:rPr>
          <w:rFonts w:ascii="Times New Roman" w:hAnsi="Times New Roman" w:cs="Times New Roman"/>
          <w:lang w:val="en-US"/>
        </w:rPr>
        <w:t xml:space="preserve">The measurement items and sources of the constructs investigated in the </w:t>
      </w:r>
      <w:r>
        <w:rPr>
          <w:rFonts w:ascii="Times New Roman" w:hAnsi="Times New Roman" w:cs="Times New Roman"/>
          <w:lang w:val="en-US"/>
        </w:rPr>
        <w:t>study</w:t>
      </w:r>
      <w:r w:rsidRPr="00755438">
        <w:rPr>
          <w:rFonts w:ascii="Times New Roman" w:hAnsi="Times New Roman" w:cs="Times New Roman"/>
          <w:lang w:val="en-US"/>
        </w:rPr>
        <w:t xml:space="preserve"> are </w:t>
      </w:r>
      <w:r>
        <w:rPr>
          <w:rFonts w:ascii="Times New Roman" w:hAnsi="Times New Roman" w:cs="Times New Roman"/>
          <w:lang w:val="en-US"/>
        </w:rPr>
        <w:t>provided</w:t>
      </w:r>
      <w:r w:rsidRPr="00755438">
        <w:rPr>
          <w:rFonts w:ascii="Times New Roman" w:hAnsi="Times New Roman" w:cs="Times New Roman"/>
          <w:lang w:val="en-US"/>
        </w:rPr>
        <w:t xml:space="preserve"> in the following table</w:t>
      </w:r>
    </w:p>
    <w:tbl>
      <w:tblPr>
        <w:tblW w:w="0" w:type="auto"/>
        <w:tblBorders>
          <w:top w:val="single" w:sz="4" w:space="0" w:color="auto"/>
          <w:bottom w:val="single" w:sz="4" w:space="0" w:color="auto"/>
        </w:tblBorders>
        <w:tblLook w:val="04A0" w:firstRow="1" w:lastRow="0" w:firstColumn="1" w:lastColumn="0" w:noHBand="0" w:noVBand="1"/>
      </w:tblPr>
      <w:tblGrid>
        <w:gridCol w:w="2835"/>
        <w:gridCol w:w="2410"/>
        <w:gridCol w:w="3260"/>
      </w:tblGrid>
      <w:tr w:rsidR="00694707" w:rsidRPr="00755438" w:rsidTr="00A91C13">
        <w:tc>
          <w:tcPr>
            <w:tcW w:w="2835" w:type="dxa"/>
            <w:tcBorders>
              <w:top w:val="single" w:sz="4" w:space="0" w:color="auto"/>
              <w:bottom w:val="single" w:sz="4" w:space="0" w:color="auto"/>
            </w:tcBorders>
          </w:tcPr>
          <w:p w:rsidR="00694707" w:rsidRPr="00755438" w:rsidRDefault="00694707" w:rsidP="00A91C13">
            <w:pPr>
              <w:spacing w:line="360" w:lineRule="auto"/>
              <w:jc w:val="center"/>
              <w:rPr>
                <w:rFonts w:ascii="Times New Roman" w:hAnsi="Times New Roman" w:cs="Times New Roman"/>
                <w:b/>
                <w:bCs/>
                <w:lang w:val="en-US"/>
              </w:rPr>
            </w:pPr>
            <w:r w:rsidRPr="00755438">
              <w:rPr>
                <w:rFonts w:ascii="Times New Roman" w:hAnsi="Times New Roman" w:cs="Times New Roman"/>
                <w:b/>
                <w:bCs/>
                <w:lang w:val="en-US"/>
              </w:rPr>
              <w:t>Constructs</w:t>
            </w:r>
          </w:p>
        </w:tc>
        <w:tc>
          <w:tcPr>
            <w:tcW w:w="2410" w:type="dxa"/>
            <w:tcBorders>
              <w:top w:val="single" w:sz="4" w:space="0" w:color="auto"/>
              <w:bottom w:val="single" w:sz="4" w:space="0" w:color="auto"/>
            </w:tcBorders>
          </w:tcPr>
          <w:p w:rsidR="00694707" w:rsidRPr="00755438" w:rsidRDefault="00694707" w:rsidP="00A91C13">
            <w:pPr>
              <w:spacing w:line="360" w:lineRule="auto"/>
              <w:jc w:val="center"/>
              <w:rPr>
                <w:rFonts w:ascii="Times New Roman" w:hAnsi="Times New Roman" w:cs="Times New Roman"/>
                <w:b/>
                <w:bCs/>
                <w:lang w:val="en-US"/>
              </w:rPr>
            </w:pPr>
            <w:r w:rsidRPr="00755438">
              <w:rPr>
                <w:rFonts w:ascii="Times New Roman" w:hAnsi="Times New Roman" w:cs="Times New Roman"/>
                <w:b/>
                <w:bCs/>
                <w:lang w:val="en-US"/>
              </w:rPr>
              <w:t>ID</w:t>
            </w:r>
          </w:p>
        </w:tc>
        <w:tc>
          <w:tcPr>
            <w:tcW w:w="3260" w:type="dxa"/>
            <w:tcBorders>
              <w:top w:val="single" w:sz="4" w:space="0" w:color="auto"/>
              <w:bottom w:val="single" w:sz="4" w:space="0" w:color="auto"/>
            </w:tcBorders>
          </w:tcPr>
          <w:p w:rsidR="00694707" w:rsidRPr="00755438" w:rsidRDefault="00694707" w:rsidP="00A91C13">
            <w:pPr>
              <w:spacing w:line="360" w:lineRule="auto"/>
              <w:jc w:val="center"/>
              <w:rPr>
                <w:rFonts w:ascii="Times New Roman" w:hAnsi="Times New Roman" w:cs="Times New Roman"/>
                <w:b/>
                <w:bCs/>
                <w:lang w:val="en-US"/>
              </w:rPr>
            </w:pPr>
            <w:r w:rsidRPr="00755438">
              <w:rPr>
                <w:rFonts w:ascii="Times New Roman" w:hAnsi="Times New Roman" w:cs="Times New Roman"/>
                <w:b/>
                <w:bCs/>
                <w:lang w:val="en-US"/>
              </w:rPr>
              <w:t>Sources</w:t>
            </w:r>
          </w:p>
        </w:tc>
      </w:tr>
      <w:tr w:rsidR="00694707" w:rsidRPr="00755438" w:rsidTr="00A91C13">
        <w:tc>
          <w:tcPr>
            <w:tcW w:w="2835" w:type="dxa"/>
          </w:tcPr>
          <w:p w:rsidR="00694707" w:rsidRPr="00755438" w:rsidRDefault="00694707" w:rsidP="00A91C13">
            <w:pPr>
              <w:spacing w:line="480" w:lineRule="auto"/>
              <w:jc w:val="both"/>
              <w:rPr>
                <w:rFonts w:ascii="Times New Roman" w:hAnsi="Times New Roman" w:cs="Times New Roman"/>
                <w:b/>
                <w:bCs/>
                <w:lang w:val="en-US"/>
              </w:rPr>
            </w:pPr>
            <w:r w:rsidRPr="000567C1">
              <w:rPr>
                <w:rFonts w:ascii="Times New Roman" w:hAnsi="Times New Roman" w:cs="Times New Roman"/>
              </w:rPr>
              <w:t>Perceived e-health literacy</w:t>
            </w:r>
          </w:p>
        </w:tc>
        <w:tc>
          <w:tcPr>
            <w:tcW w:w="2410" w:type="dxa"/>
          </w:tcPr>
          <w:p w:rsidR="00694707" w:rsidRPr="00755438" w:rsidRDefault="00694707" w:rsidP="00A91C13">
            <w:pPr>
              <w:spacing w:line="480" w:lineRule="auto"/>
              <w:jc w:val="center"/>
              <w:rPr>
                <w:rFonts w:ascii="Times New Roman" w:hAnsi="Times New Roman" w:cs="Times New Roman"/>
                <w:lang w:val="en-US"/>
              </w:rPr>
            </w:pPr>
            <w:r>
              <w:rPr>
                <w:rFonts w:ascii="Times New Roman" w:hAnsi="Times New Roman" w:cs="Times New Roman"/>
                <w:lang w:val="en-US"/>
              </w:rPr>
              <w:t>PEHL</w:t>
            </w:r>
          </w:p>
          <w:p w:rsidR="00694707" w:rsidRPr="00755438" w:rsidRDefault="00694707" w:rsidP="00A91C13">
            <w:pPr>
              <w:spacing w:line="480" w:lineRule="auto"/>
              <w:jc w:val="center"/>
              <w:rPr>
                <w:rFonts w:ascii="Times New Roman" w:hAnsi="Times New Roman" w:cs="Times New Roman"/>
                <w:lang w:val="en-US"/>
              </w:rPr>
            </w:pPr>
          </w:p>
        </w:tc>
        <w:tc>
          <w:tcPr>
            <w:tcW w:w="3260" w:type="dxa"/>
          </w:tcPr>
          <w:p w:rsidR="00694707" w:rsidRPr="00755438" w:rsidRDefault="00694707" w:rsidP="00A91C13">
            <w:pPr>
              <w:spacing w:line="360" w:lineRule="auto"/>
              <w:jc w:val="both"/>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{"citationID":"NwwEEsxy","properties":{"formattedCitation":"(Zhang {\\i{}et al.}, 2018)","plainCitation":"(Zhang et al., 2018)","noteIndex":0},"citationItems":[{"id":411,"uris":["http://zotero.org/users/12242887/items/6223ECTC"],"itemData":{"id":411,"type":"article-journal","container-title":"Information Technology for Development","DOI":"10.1080/02681102.2017.1283286","ISSN":"0268-1102, 1554-0170","issue":"2","journalAbbreviation":"Information Technology for Development","language":"en","page":"198-223","source":"DOI.org (Crossref)","title":"The role of perceived e-health literacy in users’ continuance intention to use mobile healthcare applications: an exploratory empirical study in China","title-short":"The role of perceived e-health literacy in users’ continuance intention to use mobile healthcare applications","volume":"24","author":[{"family":"Zhang","given":"Xi"},{"family":"Yan","given":"Xiangda"},{"family":"Cao","given":"Xiongfei"},{"family":"Sun","given":"Yongqiang"},{"family":"Chen","given":"Hui"},{"family":"She","given":"Jinghuai"}],"issued":{"date-parts":[["2018",4,3]]}}}],"schema":"https://github.com/citation-style-language/schema/raw/master/csl-citation.json"} </w:instrText>
            </w:r>
            <w:r>
              <w:rPr>
                <w:rFonts w:ascii="Times New Roman" w:hAnsi="Times New Roman" w:cs="Times New Roman"/>
              </w:rPr>
              <w:fldChar w:fldCharType="separate"/>
            </w:r>
            <w:r w:rsidRPr="00740A22">
              <w:rPr>
                <w:rFonts w:ascii="Times New Roman" w:hAnsi="Times New Roman" w:cs="Times New Roman"/>
                <w:kern w:val="0"/>
                <w:lang w:val="en-US"/>
              </w:rPr>
              <w:t xml:space="preserve">(Zhang </w:t>
            </w:r>
            <w:r w:rsidRPr="00740A22">
              <w:rPr>
                <w:rFonts w:ascii="Times New Roman" w:hAnsi="Times New Roman" w:cs="Times New Roman"/>
                <w:i/>
                <w:iCs/>
                <w:kern w:val="0"/>
                <w:lang w:val="en-US"/>
              </w:rPr>
              <w:t>et al.</w:t>
            </w:r>
            <w:r w:rsidRPr="00740A22">
              <w:rPr>
                <w:rFonts w:ascii="Times New Roman" w:hAnsi="Times New Roman" w:cs="Times New Roman"/>
                <w:kern w:val="0"/>
                <w:lang w:val="en-US"/>
              </w:rPr>
              <w:t>, 2018)</w:t>
            </w:r>
            <w:r>
              <w:rPr>
                <w:rFonts w:ascii="Times New Roman" w:hAnsi="Times New Roman" w:cs="Times New Roman"/>
              </w:rPr>
              <w:fldChar w:fldCharType="end"/>
            </w:r>
          </w:p>
        </w:tc>
      </w:tr>
      <w:tr w:rsidR="00694707" w:rsidRPr="00755438" w:rsidTr="00A91C13">
        <w:tc>
          <w:tcPr>
            <w:tcW w:w="2835" w:type="dxa"/>
          </w:tcPr>
          <w:p w:rsidR="00694707" w:rsidRDefault="00694707" w:rsidP="00A91C13">
            <w:pPr>
              <w:spacing w:line="480" w:lineRule="auto"/>
              <w:jc w:val="both"/>
              <w:rPr>
                <w:rFonts w:ascii="Times New Roman" w:hAnsi="Times New Roman" w:cs="Times New Roman"/>
                <w:lang w:val="en-US"/>
              </w:rPr>
            </w:pPr>
            <w:r>
              <w:rPr>
                <w:rFonts w:ascii="Times New Roman" w:hAnsi="Times New Roman" w:cs="Times New Roman"/>
                <w:lang w:val="en-US"/>
              </w:rPr>
              <w:t>Perceived usefulness</w:t>
            </w:r>
          </w:p>
        </w:tc>
        <w:tc>
          <w:tcPr>
            <w:tcW w:w="2410" w:type="dxa"/>
          </w:tcPr>
          <w:p w:rsidR="00694707" w:rsidRDefault="00694707" w:rsidP="00A91C13">
            <w:pPr>
              <w:spacing w:line="480" w:lineRule="auto"/>
              <w:jc w:val="center"/>
              <w:rPr>
                <w:rFonts w:ascii="Times New Roman" w:hAnsi="Times New Roman" w:cs="Times New Roman"/>
                <w:lang w:val="en-US"/>
              </w:rPr>
            </w:pPr>
            <w:r>
              <w:rPr>
                <w:rFonts w:ascii="Times New Roman" w:hAnsi="Times New Roman" w:cs="Times New Roman"/>
                <w:lang w:val="en-US"/>
              </w:rPr>
              <w:t>PU</w:t>
            </w:r>
          </w:p>
        </w:tc>
        <w:tc>
          <w:tcPr>
            <w:tcW w:w="3260" w:type="dxa"/>
          </w:tcPr>
          <w:p w:rsidR="00694707" w:rsidRPr="00755438" w:rsidRDefault="00694707" w:rsidP="00A91C13">
            <w:pPr>
              <w:spacing w:line="360" w:lineRule="auto"/>
              <w:jc w:val="both"/>
              <w:rPr>
                <w:rFonts w:ascii="Times New Roman" w:hAnsi="Times New Roman" w:cs="Times New Roman"/>
                <w:lang w:val="zh-CN"/>
              </w:rPr>
            </w:pPr>
            <w:r>
              <w:rPr>
                <w:rFonts w:ascii="Times New Roman" w:hAnsi="Times New Roman" w:cs="Times New Roman"/>
                <w:lang w:val="zh-CN"/>
              </w:rPr>
              <w:fldChar w:fldCharType="begin"/>
            </w:r>
            <w:r>
              <w:rPr>
                <w:rFonts w:ascii="Times New Roman" w:hAnsi="Times New Roman" w:cs="Times New Roman"/>
                <w:lang w:val="zh-CN"/>
              </w:rPr>
              <w:instrText xml:space="preserve"> ADDIN ZOTERO_ITEM CSL_CITATION {"citationID":"uf0G6zlP","properties":{"formattedCitation":"(Michels, Wever and Musshoff, 2023)","plainCitation":"(Michels, Wever and Musshoff, 2023)","noteIndex":0},"citationItems":[{"id":418,"uris":["http://zotero.org/users/12242887/items/HGE9SICR"],"itemData":{"id":418,"type":"article-journal","abstract":"This pioneering study addresses the underexplored topic of adoption of drones by forest managers. Surveying 215 German forest managers from December 2021 to February 2022, the research sheds light on factors influencing intention to use drones. Only 10% of the respondents use a drone for forestry purposes. Users of drones rank the possibility to timely response to calamities as the highest benefits of drone use. Regarding barriers, it was found that lack of technical know-how and equipment were the highest ranked reasons for non-use of drones. Using partial least squares structural equation modelling (PLS-SEM), an extended Technology Acceptance Model (TAM) was employed to analyze the data. The results demonstrate that perceived usefulness for forest management is the most influential factor driving forest managers' intention to use drones. The TAM framework explains 43% of the variation in their intentions, indicating its efficacy in capturing the decision-making process. The study's implications are important for policymakers, extension services, researchers, and practitioners. The findings offer valuable insights into the factors shaping forest managers' intention for drone adoption in forestry and highlight the need for addressing technical knowledge gaps and equipment limitations as primary barriers.","container-title":"Forest Policy and Economics","DOI":"10.1016/j.forpol.2023.103077","ISSN":"1389-9341","journalAbbreviation":"Forest Policy and Economics","page":"103077","source":"ScienceDirect","title":"Drones take flight in forests: Uncovering the ‘tree’-mendous potential and ‘timber’-rific challenges for German forest managers by applying the technology acceptance model","title-short":"Drones take flight in forests","volume":"157","author":[{"family":"Michels","given":"Marius"},{"family":"Wever","given":"Hendrik"},{"family":"Musshoff","given":"Oliver"}],"issued":{"date-parts":[["2023",12,1]]}}}],"schema":"https://github.com/citation-style-language/schema/raw/master/csl-citation.json"} </w:instrText>
            </w:r>
            <w:r>
              <w:rPr>
                <w:rFonts w:ascii="Times New Roman" w:hAnsi="Times New Roman" w:cs="Times New Roman"/>
                <w:lang w:val="zh-CN"/>
              </w:rPr>
              <w:fldChar w:fldCharType="separate"/>
            </w:r>
            <w:r>
              <w:rPr>
                <w:rFonts w:ascii="Times New Roman" w:hAnsi="Times New Roman" w:cs="Times New Roman"/>
                <w:noProof/>
                <w:lang w:val="zh-CN"/>
              </w:rPr>
              <w:t>(Michels, Wever and Musshoff, 2023)</w:t>
            </w:r>
            <w:r>
              <w:rPr>
                <w:rFonts w:ascii="Times New Roman" w:hAnsi="Times New Roman" w:cs="Times New Roman"/>
                <w:lang w:val="zh-CN"/>
              </w:rPr>
              <w:fldChar w:fldCharType="end"/>
            </w:r>
          </w:p>
        </w:tc>
      </w:tr>
      <w:tr w:rsidR="00694707" w:rsidRPr="00755438" w:rsidTr="00A91C13">
        <w:tc>
          <w:tcPr>
            <w:tcW w:w="2835" w:type="dxa"/>
          </w:tcPr>
          <w:p w:rsidR="00694707" w:rsidRDefault="00694707" w:rsidP="00A91C13">
            <w:pPr>
              <w:spacing w:line="480" w:lineRule="auto"/>
              <w:jc w:val="both"/>
              <w:rPr>
                <w:rFonts w:ascii="Times New Roman" w:hAnsi="Times New Roman" w:cs="Times New Roman"/>
                <w:lang w:val="en-US"/>
              </w:rPr>
            </w:pPr>
            <w:r>
              <w:rPr>
                <w:rFonts w:ascii="Times New Roman" w:hAnsi="Times New Roman" w:cs="Times New Roman"/>
                <w:lang w:val="en-US"/>
              </w:rPr>
              <w:t>Perceived ease of use</w:t>
            </w:r>
          </w:p>
        </w:tc>
        <w:tc>
          <w:tcPr>
            <w:tcW w:w="2410" w:type="dxa"/>
          </w:tcPr>
          <w:p w:rsidR="00694707" w:rsidRDefault="00694707" w:rsidP="00A91C13">
            <w:pPr>
              <w:spacing w:line="480" w:lineRule="auto"/>
              <w:jc w:val="center"/>
              <w:rPr>
                <w:rFonts w:ascii="Times New Roman" w:hAnsi="Times New Roman" w:cs="Times New Roman"/>
                <w:lang w:val="en-US"/>
              </w:rPr>
            </w:pPr>
            <w:r>
              <w:rPr>
                <w:rFonts w:ascii="Times New Roman" w:hAnsi="Times New Roman" w:cs="Times New Roman"/>
                <w:lang w:val="en-US"/>
              </w:rPr>
              <w:t>PEOU</w:t>
            </w:r>
          </w:p>
        </w:tc>
        <w:tc>
          <w:tcPr>
            <w:tcW w:w="3260" w:type="dxa"/>
          </w:tcPr>
          <w:p w:rsidR="00694707" w:rsidRPr="00755438" w:rsidRDefault="00694707" w:rsidP="00A91C13">
            <w:pPr>
              <w:spacing w:line="360" w:lineRule="auto"/>
              <w:jc w:val="both"/>
              <w:rPr>
                <w:rFonts w:ascii="Times New Roman" w:hAnsi="Times New Roman" w:cs="Times New Roman"/>
                <w:lang w:val="zh-CN"/>
              </w:rPr>
            </w:pPr>
            <w:r>
              <w:rPr>
                <w:rFonts w:ascii="Times New Roman" w:hAnsi="Times New Roman" w:cs="Times New Roman"/>
                <w:lang w:val="zh-CN"/>
              </w:rPr>
              <w:fldChar w:fldCharType="begin"/>
            </w:r>
            <w:r>
              <w:rPr>
                <w:rFonts w:ascii="Times New Roman" w:hAnsi="Times New Roman" w:cs="Times New Roman"/>
                <w:lang w:val="zh-CN"/>
              </w:rPr>
              <w:instrText xml:space="preserve"> ADDIN ZOTERO_ITEM CSL_CITATION {"citationID":"t3MpJcCt","properties":{"formattedCitation":"(Michels, Wever and Musshoff, 2023)","plainCitation":"(Michels, Wever and Musshoff, 2023)","noteIndex":0},"citationItems":[{"id":418,"uris":["http://zotero.org/users/12242887/items/HGE9SICR"],"itemData":{"id":418,"type":"article-journal","abstract":"This pioneering study addresses the underexplored topic of adoption of drones by forest managers. Surveying 215 German forest managers from December 2021 to February 2022, the research sheds light on factors influencing intention to use drones. Only 10% of the respondents use a drone for forestry purposes. Users of drones rank the possibility to timely response to calamities as the highest benefits of drone use. Regarding barriers, it was found that lack of technical know-how and equipment were the highest ranked reasons for non-use of drones. Using partial least squares structural equation modelling (PLS-SEM), an extended Technology Acceptance Model (TAM) was employed to analyze the data. The results demonstrate that perceived usefulness for forest management is the most influential factor driving forest managers' intention to use drones. The TAM framework explains 43% of the variation in their intentions, indicating its efficacy in capturing the decision-making process. The study's implications are important for policymakers, extension services, researchers, and practitioners. The findings offer valuable insights into the factors shaping forest managers' intention for drone adoption in forestry and highlight the need for addressing technical knowledge gaps and equipment limitations as primary barriers.","container-title":"Forest Policy and Economics","DOI":"10.1016/j.forpol.2023.103077","ISSN":"1389-9341","journalAbbreviation":"Forest Policy and Economics","page":"103077","source":"ScienceDirect","title":"Drones take flight in forests: Uncovering the ‘tree’-mendous potential and ‘timber’-rific challenges for German forest managers by applying the technology acceptance model","title-short":"Drones take flight in forests","volume":"157","author":[{"family":"Michels","given":"Marius"},{"family":"Wever","given":"Hendrik"},{"family":"Musshoff","given":"Oliver"}],"issued":{"date-parts":[["2023",12,1]]}}}],"schema":"https://github.com/citation-style-language/schema/raw/master/csl-citation.json"} </w:instrText>
            </w:r>
            <w:r>
              <w:rPr>
                <w:rFonts w:ascii="Times New Roman" w:hAnsi="Times New Roman" w:cs="Times New Roman"/>
                <w:lang w:val="zh-CN"/>
              </w:rPr>
              <w:fldChar w:fldCharType="separate"/>
            </w:r>
            <w:r>
              <w:rPr>
                <w:rFonts w:ascii="Times New Roman" w:hAnsi="Times New Roman" w:cs="Times New Roman"/>
                <w:noProof/>
                <w:lang w:val="zh-CN"/>
              </w:rPr>
              <w:t>(Michels, Wever and Musshoff, 2023)</w:t>
            </w:r>
            <w:r>
              <w:rPr>
                <w:rFonts w:ascii="Times New Roman" w:hAnsi="Times New Roman" w:cs="Times New Roman"/>
                <w:lang w:val="zh-CN"/>
              </w:rPr>
              <w:fldChar w:fldCharType="end"/>
            </w:r>
          </w:p>
        </w:tc>
      </w:tr>
      <w:tr w:rsidR="00694707" w:rsidRPr="00755438" w:rsidTr="00A91C13">
        <w:tc>
          <w:tcPr>
            <w:tcW w:w="2835" w:type="dxa"/>
          </w:tcPr>
          <w:p w:rsidR="00694707" w:rsidRDefault="00694707" w:rsidP="00A91C13">
            <w:pPr>
              <w:spacing w:line="480" w:lineRule="auto"/>
              <w:jc w:val="both"/>
              <w:rPr>
                <w:rFonts w:ascii="Times New Roman" w:hAnsi="Times New Roman" w:cs="Times New Roman"/>
                <w:lang w:val="en-US"/>
              </w:rPr>
            </w:pPr>
            <w:r>
              <w:rPr>
                <w:rFonts w:ascii="Times New Roman" w:hAnsi="Times New Roman" w:cs="Times New Roman"/>
                <w:lang w:val="en-US"/>
              </w:rPr>
              <w:t>Trust</w:t>
            </w:r>
          </w:p>
        </w:tc>
        <w:tc>
          <w:tcPr>
            <w:tcW w:w="2410" w:type="dxa"/>
          </w:tcPr>
          <w:p w:rsidR="00694707" w:rsidRDefault="00694707" w:rsidP="00A91C13">
            <w:pPr>
              <w:spacing w:line="480" w:lineRule="auto"/>
              <w:jc w:val="center"/>
              <w:rPr>
                <w:rFonts w:ascii="Times New Roman" w:hAnsi="Times New Roman" w:cs="Times New Roman"/>
                <w:lang w:val="en-US"/>
              </w:rPr>
            </w:pPr>
            <w:r>
              <w:rPr>
                <w:rFonts w:ascii="Times New Roman" w:hAnsi="Times New Roman" w:cs="Times New Roman"/>
                <w:lang w:val="en-US"/>
              </w:rPr>
              <w:t>T</w:t>
            </w:r>
          </w:p>
        </w:tc>
        <w:tc>
          <w:tcPr>
            <w:tcW w:w="3260" w:type="dxa"/>
          </w:tcPr>
          <w:p w:rsidR="00694707" w:rsidRPr="00755438" w:rsidRDefault="00694707" w:rsidP="00A91C13">
            <w:pPr>
              <w:spacing w:line="360" w:lineRule="auto"/>
              <w:jc w:val="both"/>
              <w:rPr>
                <w:rFonts w:ascii="Times New Roman" w:hAnsi="Times New Roman" w:cs="Times New Roman"/>
                <w:lang w:val="zh-CN"/>
              </w:rPr>
            </w:pPr>
            <w:r>
              <w:rPr>
                <w:rFonts w:ascii="Times New Roman" w:hAnsi="Times New Roman" w:cs="Times New Roman"/>
                <w:lang w:val="zh-CN"/>
              </w:rPr>
              <w:fldChar w:fldCharType="begin"/>
            </w:r>
            <w:r>
              <w:rPr>
                <w:rFonts w:ascii="Times New Roman" w:hAnsi="Times New Roman" w:cs="Times New Roman"/>
                <w:lang w:val="zh-CN"/>
              </w:rPr>
              <w:instrText xml:space="preserve"> ADDIN ZOTERO_ITEM CSL_CITATION {"citationID":"hw7mvuJf","properties":{"formattedCitation":"(Das and Ramalingam, 2023)","plainCitation":"(Das and Ramalingam, 2023)","noteIndex":0},"citationItems":[{"id":9,"uris":["http://zotero.org/users/12242887/items/IM6V8T6R"],"itemData":{"id":9,"type":"article-journal","container-title":"Journal of Retailing and Consumer Services","DOI":"10.1016/j.jretconser.2023.103408","ISSN":"09696989","journalAbbreviation":"Journal of Retailing and Consumer Services","language":"en","page":"103408","source":"DOI.org (Crossref)","title":"To praise or not to praise- Role of word of mouth in food delivery apps","volume":"74","author":[{"family":"Das","given":"Manoj"},{"family":"Ramalingam","given":"Mahesh"}],"issued":{"date-parts":[["2023",9]]}}}],"schema":"https://github.com/citation-style-language/schema/raw/master/csl-citation.json"} </w:instrText>
            </w:r>
            <w:r>
              <w:rPr>
                <w:rFonts w:ascii="Times New Roman" w:hAnsi="Times New Roman" w:cs="Times New Roman"/>
                <w:lang w:val="zh-CN"/>
              </w:rPr>
              <w:fldChar w:fldCharType="separate"/>
            </w:r>
            <w:r>
              <w:rPr>
                <w:rFonts w:ascii="Times New Roman" w:hAnsi="Times New Roman" w:cs="Times New Roman"/>
                <w:noProof/>
                <w:lang w:val="zh-CN"/>
              </w:rPr>
              <w:t>(Das and Ramalingam, 2023)</w:t>
            </w:r>
            <w:r>
              <w:rPr>
                <w:rFonts w:ascii="Times New Roman" w:hAnsi="Times New Roman" w:cs="Times New Roman"/>
                <w:lang w:val="zh-CN"/>
              </w:rPr>
              <w:fldChar w:fldCharType="end"/>
            </w:r>
          </w:p>
        </w:tc>
      </w:tr>
      <w:tr w:rsidR="00694707" w:rsidRPr="00A51DC2" w:rsidTr="00A91C13">
        <w:tc>
          <w:tcPr>
            <w:tcW w:w="2835" w:type="dxa"/>
          </w:tcPr>
          <w:p w:rsidR="00694707" w:rsidRDefault="00694707" w:rsidP="00A91C13">
            <w:pPr>
              <w:spacing w:line="480" w:lineRule="auto"/>
              <w:jc w:val="both"/>
              <w:rPr>
                <w:rFonts w:ascii="Times New Roman" w:hAnsi="Times New Roman" w:cs="Times New Roman"/>
                <w:lang w:val="en-US"/>
              </w:rPr>
            </w:pPr>
            <w:r>
              <w:rPr>
                <w:rFonts w:ascii="Times New Roman" w:hAnsi="Times New Roman" w:cs="Times New Roman"/>
                <w:lang w:val="en-US"/>
              </w:rPr>
              <w:t>Continuance intention</w:t>
            </w:r>
          </w:p>
        </w:tc>
        <w:tc>
          <w:tcPr>
            <w:tcW w:w="2410" w:type="dxa"/>
          </w:tcPr>
          <w:p w:rsidR="00694707" w:rsidRDefault="00694707" w:rsidP="00A91C13">
            <w:pPr>
              <w:spacing w:line="480" w:lineRule="auto"/>
              <w:jc w:val="center"/>
              <w:rPr>
                <w:rFonts w:ascii="Times New Roman" w:hAnsi="Times New Roman" w:cs="Times New Roman"/>
                <w:lang w:val="en-US"/>
              </w:rPr>
            </w:pPr>
            <w:r>
              <w:rPr>
                <w:rFonts w:ascii="Times New Roman" w:hAnsi="Times New Roman" w:cs="Times New Roman"/>
                <w:lang w:val="en-US"/>
              </w:rPr>
              <w:t>CI</w:t>
            </w:r>
          </w:p>
        </w:tc>
        <w:tc>
          <w:tcPr>
            <w:tcW w:w="3260" w:type="dxa"/>
          </w:tcPr>
          <w:p w:rsidR="00694707" w:rsidRPr="00A51DC2" w:rsidRDefault="00694707" w:rsidP="00A91C13">
            <w:pPr>
              <w:spacing w:line="360" w:lineRule="auto"/>
              <w:jc w:val="both"/>
              <w:rPr>
                <w:rFonts w:ascii="Times New Roman" w:hAnsi="Times New Roman" w:cs="Times New Roman"/>
                <w:lang w:val="en-US"/>
              </w:rPr>
            </w:pPr>
            <w:r>
              <w:rPr>
                <w:rFonts w:ascii="Times New Roman" w:hAnsi="Times New Roman" w:cs="Times New Roman"/>
                <w:lang w:val="zh-CN"/>
              </w:rPr>
              <w:fldChar w:fldCharType="begin"/>
            </w:r>
            <w:r>
              <w:rPr>
                <w:rFonts w:ascii="Times New Roman" w:hAnsi="Times New Roman" w:cs="Times New Roman"/>
                <w:lang w:val="zh-CN"/>
              </w:rPr>
              <w:instrText xml:space="preserve"> ADDIN ZOTERO_ITEM CSL_CITATION {"citationID":"21Odgzdr","properties":{"formattedCitation":"(Sahu, Padhy and Dhir, 2020; Chen {\\i{}et al.}, 2024)","plainCitation":"(Sahu, Padhy and Dhir, 2020; Chen et al., 2024)","noteIndex":0},"citationItems":[{"id":21,"uris":["http://zotero.org/users/12242887/items/U887LMNW"],"itemData":{"id":21,"type":"article-journal","abstract":"Behavioral theories have been extensively referred to in consumer behavior literature to understand the factors influencing user intentions and behavior. Behavioral reasoning theory (BRT) is a relatively new theory that determines the linkage between beliefs, reasons, motives, intentions, and behavior. This study conducts a systematic literature review (SLR) to synthesize the existing body of knowledge around BRT. The present SLR critically examines the origin of this theory and its linkages with other behavioral theories, thus providing insightful knowledge on its foundations. Further, it presents the state-of-the-art research knowledge, research themes, implications, and future directions related to BRT literature. Our analysis shows that the reasons for and reasons against construct plays an important role in predicting consumer behavior. This study also finds that research related to BRT is growing rapidly and needs methodological advancements. These findings will enable scholars and practitioners to better understand how BRT works, what its strengths and potential are, the contexts in which it has been utilized, its existing limitations, and the sort of methodological advancements needed in future studies on marketing.","container-title":"Australasian Marketing Journal","DOI":"10.1016/j.ausmj.2020.05.001","ISSN":"1839-3349, 1839-3349","issue":"4","journalAbbreviation":"Australasian Marketing Journal","language":"en","page":"145-159","source":"DOI.org (Crossref)","title":"Envisioning the Future of Behavioral Decision-Making: A Systematic Literature Review of Behavioral Reasoning Theory","title-short":"Envisioning the Future of Behavioral Decision-Making","volume":"28","author":[{"family":"Sahu","given":"Aditya Kumar"},{"family":"Padhy","given":"R.K."},{"family":"Dhir","given":"Amandeep"}],"issued":{"date-parts":[["2020",11]]}}},{"id":422,"uris":["http://zotero.org/users/12242887/items/C5RH54VH"],"itemData":{"id":422,"type":"article-journal","abstract":"Objectives\nThis study seeks to investigate the willingness of medical professionals to embrace training in sports medicine integrated talents, as well as the factors that influence their decision-making process. By utilizing technology acceptance models, the objective is to gain a comprehensive understanding of this phenomenon and provide valuable recommendations to facilitate the development of proficient integration of sports and medicine (ISM) talents.\nMethods\nThe questionnaire was developed through a comprehensive review of relevant literature and consultation with experts in the field. A cluster sampling method was employed to select medical professionals from various medical institutions in Guangxi Zhuang Autonomous Region (Guangxi) who had participated in ISM talent training. The collected data were analyzed using the AMOS structural equation model, ensuring a rigorous and systematic approach to data analysis.\nResults\nA total of 403 questionnaires were collected in this survey, and 8 out of the 9 research hypotheses formulated for the model variables were found</w:instrText>
            </w:r>
            <w:r w:rsidRPr="00A51DC2">
              <w:rPr>
                <w:rFonts w:ascii="Times New Roman" w:hAnsi="Times New Roman" w:cs="Times New Roman"/>
                <w:lang w:val="en-US"/>
              </w:rPr>
              <w:instrText xml:space="preserve"> to be supported. Perceived usefulness, perceived ease of use, subjective norm and training satisfaction were identified as significant factors influencing the behavioral intention of medical professionals to engage in ISM talent training (P &lt; 0.05). The path coefficients for these factors were 0.17, 0.16, 0.31 and 0.24, respectively.\nConclusion\nIn order to enhance the effectiveness of training for ISM talents, it is imperative for relevant departments to collaborate and focus on improving the perceived usefulness, perceived ease of use, and training satisfaction. By doing so, we can effectively harness the subjective initiative of medical professionals, thereby increasing their willingness to participate in training programs. This, in turn, will contribute to the cultivation of “high-quality, high-level” ISM talents that are essential for the betterment of society.","container-title":"Heliyon","DOI":"10.1016/j.heliyon.2024.e26206","ISSN":"2405-8440","issue":"4","journalAbbreviation":"Heliyon","page":"e26206","source":"ScienceDirect","title":"Technology acceptance model perspective on the intention to participate in medical talents training in China","volume":"10","author":[{"family":"Chen","given":"Butong"},{"family":"Chang","given":"Yan"},{"family":"Wang","given":"Biyan"},{"family":"Zou","given":"Jinhui"},{"family":"Tu","given":"Sijing"}],"issued":{"date-parts":[["2024",2,29]]}}}],"schema":"https://github.com/citation-style-language/schema/raw/master/csl-citation.json"} </w:instrText>
            </w:r>
            <w:r>
              <w:rPr>
                <w:rFonts w:ascii="Times New Roman" w:hAnsi="Times New Roman" w:cs="Times New Roman"/>
                <w:lang w:val="zh-CN"/>
              </w:rPr>
              <w:fldChar w:fldCharType="separate"/>
            </w:r>
            <w:r w:rsidRPr="00207348">
              <w:rPr>
                <w:rFonts w:ascii="Times New Roman" w:hAnsi="Times New Roman" w:cs="Times New Roman"/>
                <w:kern w:val="0"/>
                <w:lang w:val="en-US"/>
              </w:rPr>
              <w:t>(</w:t>
            </w:r>
            <w:proofErr w:type="spellStart"/>
            <w:r w:rsidRPr="00207348">
              <w:rPr>
                <w:rFonts w:ascii="Times New Roman" w:hAnsi="Times New Roman" w:cs="Times New Roman"/>
                <w:kern w:val="0"/>
                <w:lang w:val="en-US"/>
              </w:rPr>
              <w:t>Sahu</w:t>
            </w:r>
            <w:proofErr w:type="spellEnd"/>
            <w:r w:rsidRPr="00207348">
              <w:rPr>
                <w:rFonts w:ascii="Times New Roman" w:hAnsi="Times New Roman" w:cs="Times New Roman"/>
                <w:kern w:val="0"/>
                <w:lang w:val="en-US"/>
              </w:rPr>
              <w:t xml:space="preserve">, </w:t>
            </w:r>
            <w:proofErr w:type="spellStart"/>
            <w:r w:rsidRPr="00207348">
              <w:rPr>
                <w:rFonts w:ascii="Times New Roman" w:hAnsi="Times New Roman" w:cs="Times New Roman"/>
                <w:kern w:val="0"/>
                <w:lang w:val="en-US"/>
              </w:rPr>
              <w:t>Padhy</w:t>
            </w:r>
            <w:proofErr w:type="spellEnd"/>
            <w:r w:rsidRPr="00207348">
              <w:rPr>
                <w:rFonts w:ascii="Times New Roman" w:hAnsi="Times New Roman" w:cs="Times New Roman"/>
                <w:kern w:val="0"/>
                <w:lang w:val="en-US"/>
              </w:rPr>
              <w:t xml:space="preserve"> and </w:t>
            </w:r>
            <w:proofErr w:type="spellStart"/>
            <w:r w:rsidRPr="00207348">
              <w:rPr>
                <w:rFonts w:ascii="Times New Roman" w:hAnsi="Times New Roman" w:cs="Times New Roman"/>
                <w:kern w:val="0"/>
                <w:lang w:val="en-US"/>
              </w:rPr>
              <w:t>Dhir</w:t>
            </w:r>
            <w:proofErr w:type="spellEnd"/>
            <w:r w:rsidRPr="00207348">
              <w:rPr>
                <w:rFonts w:ascii="Times New Roman" w:hAnsi="Times New Roman" w:cs="Times New Roman"/>
                <w:kern w:val="0"/>
                <w:lang w:val="en-US"/>
              </w:rPr>
              <w:t xml:space="preserve">, 2020; Chen </w:t>
            </w:r>
            <w:r w:rsidRPr="00207348">
              <w:rPr>
                <w:rFonts w:ascii="Times New Roman" w:hAnsi="Times New Roman" w:cs="Times New Roman"/>
                <w:i/>
                <w:iCs/>
                <w:kern w:val="0"/>
                <w:lang w:val="en-US"/>
              </w:rPr>
              <w:t>et al.</w:t>
            </w:r>
            <w:r w:rsidRPr="00207348">
              <w:rPr>
                <w:rFonts w:ascii="Times New Roman" w:hAnsi="Times New Roman" w:cs="Times New Roman"/>
                <w:kern w:val="0"/>
                <w:lang w:val="en-US"/>
              </w:rPr>
              <w:t>, 2024)</w:t>
            </w:r>
            <w:r>
              <w:rPr>
                <w:rFonts w:ascii="Times New Roman" w:hAnsi="Times New Roman" w:cs="Times New Roman"/>
                <w:lang w:val="zh-CN"/>
              </w:rPr>
              <w:fldChar w:fldCharType="end"/>
            </w:r>
          </w:p>
        </w:tc>
      </w:tr>
    </w:tbl>
    <w:p w:rsidR="00C547E5" w:rsidRDefault="00C547E5"/>
    <w:sectPr w:rsidR="00C547E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707"/>
    <w:rsid w:val="00694707"/>
    <w:rsid w:val="00963EA6"/>
    <w:rsid w:val="00AA185B"/>
    <w:rsid w:val="00C547E5"/>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42D44F53-296C-CE4D-ACF6-7AE69C334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7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1826</Words>
  <Characters>10410</Characters>
  <Application>Microsoft Office Word</Application>
  <DocSecurity>0</DocSecurity>
  <Lines>86</Lines>
  <Paragraphs>24</Paragraphs>
  <ScaleCrop>false</ScaleCrop>
  <Company/>
  <LinksUpToDate>false</LinksUpToDate>
  <CharactersWithSpaces>12212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UKAEGBU</dc:creator>
  <cp:keywords/>
  <dc:description/>
  <cp:lastModifiedBy>OSCAR UKAEGBU</cp:lastModifiedBy>
  <cp:revision>1</cp:revision>
  <dcterms:created xsi:type="dcterms:W3CDTF">2024-03-27T03:54:00Z</dcterms:created>
  <dcterms:modified xsi:type="dcterms:W3CDTF">2024-03-27T03:54:00Z</dcterms:modified>
</cp:coreProperties>
</file>