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59F7F" w14:textId="77777777" w:rsidR="008E363A" w:rsidRDefault="008E363A" w:rsidP="008E363A">
      <w:pPr>
        <w:pStyle w:val="Heading1"/>
      </w:pPr>
      <w:r>
        <w:t>Supplementary information</w:t>
      </w:r>
    </w:p>
    <w:p w14:paraId="2E84B11E" w14:textId="77777777" w:rsidR="008E363A" w:rsidRDefault="008E363A" w:rsidP="008E363A"/>
    <w:p w14:paraId="338B879E" w14:textId="77777777" w:rsidR="008E363A" w:rsidRDefault="008E363A" w:rsidP="008E363A">
      <w:r>
        <w:rPr>
          <w:noProof/>
        </w:rPr>
        <w:drawing>
          <wp:inline distT="114300" distB="114300" distL="114300" distR="114300" wp14:anchorId="3A542EC8" wp14:editId="4A9376A9">
            <wp:extent cx="5731200" cy="5651500"/>
            <wp:effectExtent l="0" t="0" r="0" b="0"/>
            <wp:docPr id="1080095152" name="image2.png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095152" name="image2.png" descr="A screenshot of a computer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5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DE8953" w14:textId="77777777" w:rsidR="008E363A" w:rsidRDefault="008E363A" w:rsidP="008E363A">
      <w:r>
        <w:rPr>
          <w:b/>
        </w:rPr>
        <w:t xml:space="preserve">Supplementary table 1. </w:t>
      </w:r>
      <w:r>
        <w:t>List of NDC actions that can be directly linked to performance in an indicator from the Sustainable Development Report (Sachs et al. 2023).</w:t>
      </w:r>
    </w:p>
    <w:p w14:paraId="1646EF3A" w14:textId="77777777" w:rsidR="008E363A" w:rsidRDefault="008E363A" w:rsidP="008E363A"/>
    <w:p w14:paraId="1399BB7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63A"/>
    <w:rsid w:val="00755780"/>
    <w:rsid w:val="00857596"/>
    <w:rsid w:val="008E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4C293"/>
  <w15:chartTrackingRefBased/>
  <w15:docId w15:val="{5EED2774-2940-4B6D-9470-CEEB28BC2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63A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36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63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Springer Nature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2024-05-03T08:14:00Z</dcterms:created>
  <dcterms:modified xsi:type="dcterms:W3CDTF">2024-05-03T08:14:00Z</dcterms:modified>
</cp:coreProperties>
</file>