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680FC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42F0F74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C7088B0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This file includes:</w:t>
      </w:r>
    </w:p>
    <w:p w14:paraId="3438C6F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134E0E6" w14:textId="77777777" w:rsidR="00163C66" w:rsidRDefault="00000000">
      <w:pPr>
        <w:spacing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Figs. S1 to S24</w:t>
      </w:r>
    </w:p>
    <w:p w14:paraId="64A486C2" w14:textId="77777777" w:rsidR="00163C66" w:rsidRDefault="00000000">
      <w:pPr>
        <w:spacing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Legends for tables S1 to S21</w:t>
      </w:r>
    </w:p>
    <w:p w14:paraId="16D2AAF4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AF515DA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Other Supplementary Materials for this manuscript include the following: </w:t>
      </w:r>
    </w:p>
    <w:p w14:paraId="1754236A" w14:textId="77777777" w:rsidR="00163C66" w:rsidRDefault="00163C66">
      <w:pPr>
        <w:spacing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</w:p>
    <w:p w14:paraId="11DF5D79" w14:textId="77777777" w:rsidR="00163C66" w:rsidRDefault="00000000">
      <w:pPr>
        <w:spacing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Tables S1 to S21 </w:t>
      </w:r>
    </w:p>
    <w:p w14:paraId="411194C4" w14:textId="77777777" w:rsidR="00163C66" w:rsidRDefault="00163C66">
      <w:pPr>
        <w:spacing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</w:p>
    <w:p w14:paraId="5A850AAE" w14:textId="77777777" w:rsidR="00163C66" w:rsidRDefault="00000000">
      <w:pPr>
        <w:spacing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</w:p>
    <w:p w14:paraId="3CF78922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br w:type="page"/>
      </w:r>
    </w:p>
    <w:p w14:paraId="7F54A19C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45341CB6" wp14:editId="7B3E4E33">
            <wp:extent cx="5329238" cy="6175646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9238" cy="61756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C8C9B7" w14:textId="77777777" w:rsidR="00163C66" w:rsidRDefault="00000000">
      <w:pPr>
        <w:keepNext/>
        <w:spacing w:before="240" w:after="60"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S1. Prisma diagram. </w:t>
      </w:r>
      <w:r>
        <w:rPr>
          <w:rFonts w:ascii="Arial" w:eastAsia="Arial" w:hAnsi="Arial" w:cs="Arial"/>
          <w:sz w:val="24"/>
          <w:szCs w:val="24"/>
        </w:rPr>
        <w:t>Flow diagram of systematic review and selection of studies for the meta-analysis, according to the PRISMA statement guidelines.</w:t>
      </w:r>
    </w:p>
    <w:p w14:paraId="6DEF6EFC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5819CF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86FFE2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B762E7A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FE1F861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204B03CC" wp14:editId="78DD79F4">
            <wp:extent cx="5731200" cy="28702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027709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S2.  Summary of sample distribution. </w:t>
      </w:r>
      <w:r>
        <w:rPr>
          <w:rFonts w:ascii="Arial" w:eastAsia="Arial" w:hAnsi="Arial" w:cs="Arial"/>
          <w:sz w:val="24"/>
          <w:szCs w:val="24"/>
        </w:rPr>
        <w:t>Barplots showing the sample distribution by study, severity and phase.</w:t>
      </w:r>
    </w:p>
    <w:p w14:paraId="789D46E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4B69D7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CC4581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37547FA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556E377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1611510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639C8577" wp14:editId="06B921F1">
            <wp:extent cx="5731200" cy="5041900"/>
            <wp:effectExtent l="0" t="0" r="0" b="0"/>
            <wp:docPr id="18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041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71CF91" w14:textId="77777777" w:rsidR="00163C66" w:rsidRDefault="00000000">
      <w:pPr>
        <w:widowControl w:val="0"/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3. Overview of gene expression meta-analysis results. </w:t>
      </w:r>
      <w:r>
        <w:rPr>
          <w:rFonts w:ascii="Arial" w:eastAsia="Arial" w:hAnsi="Arial" w:cs="Arial"/>
          <w:sz w:val="24"/>
          <w:szCs w:val="24"/>
        </w:rPr>
        <w:t>(</w:t>
      </w:r>
      <w:r>
        <w:rPr>
          <w:rFonts w:ascii="Arial" w:eastAsia="Arial" w:hAnsi="Arial" w:cs="Arial"/>
          <w:b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) Barplot reporting the number of studies per group. (</w:t>
      </w:r>
      <w:r>
        <w:rPr>
          <w:rFonts w:ascii="Arial" w:eastAsia="Arial" w:hAnsi="Arial" w:cs="Arial"/>
          <w:b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) Barplot displaying the number of significantly altered genes per group, with significantly up-regulated genes in red, significantly down-regulated genes in blue, and non-significantly altered genes in gray. (</w:t>
      </w:r>
      <w:r>
        <w:rPr>
          <w:rFonts w:ascii="Arial" w:eastAsia="Arial" w:hAnsi="Arial" w:cs="Arial"/>
          <w:b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) Venn diagrams of significantly altered genes in different injury phases (T1, acute; T2, subacute; T3, early chronic; T4, late chronic) for moderate (left) and severe (right) injury. Intersecting significantly up-regulated genes are noted in red, and significantly dow-nregulated genes are noted in blue. The black square indicates the intersection of all four groups. </w:t>
      </w:r>
    </w:p>
    <w:p w14:paraId="4D34D5D3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0757C9C2" wp14:editId="4DE3DB96">
            <wp:extent cx="5731200" cy="3543300"/>
            <wp:effectExtent l="0" t="0" r="0" b="0"/>
            <wp:docPr id="11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FBEC12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S4. Hierarchical heatmap of severity-specific biomarkers. </w:t>
      </w:r>
      <w:r>
        <w:rPr>
          <w:rFonts w:ascii="Arial" w:eastAsia="Arial" w:hAnsi="Arial" w:cs="Arial"/>
          <w:sz w:val="24"/>
          <w:szCs w:val="24"/>
        </w:rPr>
        <w:t>Hierarchical heatmap revealed higher dysregulation of these genes, both up-regulated or down-regulated, in severe injuries than moderate injuries, resulting in a clear separation into two distinct branches of the heatmap based on severity.</w:t>
      </w:r>
    </w:p>
    <w:p w14:paraId="219C686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85CEBD7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FD05D16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79007DC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B8A47E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2F65A76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FF95B6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C334B0A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6D29E52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910618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47ADC5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8642DC8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63D176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0B81B7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2029BE5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92356BD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BC3737F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43289A8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1D7C68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DE8E4D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AA0E3BB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396BE79A" wp14:editId="7BA0DE2D">
            <wp:extent cx="5731200" cy="5524500"/>
            <wp:effectExtent l="0" t="0" r="0" b="0"/>
            <wp:docPr id="28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52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4D308F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14CBD90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S5. PPI network for down-regulated severity-markers. </w:t>
      </w:r>
      <w:r>
        <w:rPr>
          <w:rFonts w:ascii="Arial" w:eastAsia="Arial" w:hAnsi="Arial" w:cs="Arial"/>
          <w:sz w:val="24"/>
          <w:szCs w:val="24"/>
        </w:rPr>
        <w:t xml:space="preserve">Red, proteins related to nervous system development (GO:0007399). Blue, proteins related to regulation of trans-synaptic signaling (GO:0099177). Permalink: </w:t>
      </w:r>
      <w:hyperlink r:id="rId11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https://version-11-5.string-db.org/cgi/network?networkId=bAOGP0hyvNCg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7810E818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BA4D60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DB4CDB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C44141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AC445F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6BD2618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16B28E1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65785F61" wp14:editId="55EFEFF8">
            <wp:extent cx="5731200" cy="5689600"/>
            <wp:effectExtent l="0" t="0" r="0" b="0"/>
            <wp:docPr id="27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8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0C287D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87A1AD9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S6. PPI network for up-regulated severity-markers. </w:t>
      </w:r>
      <w:r>
        <w:rPr>
          <w:rFonts w:ascii="Arial" w:eastAsia="Arial" w:hAnsi="Arial" w:cs="Arial"/>
          <w:sz w:val="24"/>
          <w:szCs w:val="24"/>
        </w:rPr>
        <w:t xml:space="preserve">Red, proteins related to extracellular matrix organization (GO:0030198). Blue, proteins related to animal organ development (GO:0048513). Green, proteins related to anatomical structure morphogenesis (GO:0009653). Permalink: </w:t>
      </w:r>
      <w:hyperlink r:id="rId13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https://version-11-5.string-db.org/cgi/network?networkId=bYnq68Vl7nAs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2F64F61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F40879F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99FC75C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1B00425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89BAC53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72EBE6D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70D5CDDD" wp14:editId="55479025">
            <wp:extent cx="5731200" cy="2870200"/>
            <wp:effectExtent l="0" t="0" r="0" b="0"/>
            <wp:docPr id="1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4C3704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S7. Group classification using top 10 T1-specific biomarkers. (A)</w:t>
      </w:r>
      <w:r>
        <w:rPr>
          <w:rFonts w:ascii="Arial" w:eastAsia="Arial" w:hAnsi="Arial" w:cs="Arial"/>
          <w:sz w:val="24"/>
          <w:szCs w:val="24"/>
        </w:rPr>
        <w:t xml:space="preserve"> PCA plot and </w:t>
      </w:r>
      <w:r>
        <w:rPr>
          <w:rFonts w:ascii="Arial" w:eastAsia="Arial" w:hAnsi="Arial" w:cs="Arial"/>
          <w:b/>
          <w:sz w:val="24"/>
          <w:szCs w:val="24"/>
        </w:rPr>
        <w:t>(B)</w:t>
      </w:r>
      <w:r>
        <w:rPr>
          <w:rFonts w:ascii="Arial" w:eastAsia="Arial" w:hAnsi="Arial" w:cs="Arial"/>
          <w:sz w:val="24"/>
          <w:szCs w:val="24"/>
        </w:rPr>
        <w:t xml:space="preserve"> hierarchical clustering using top 10 T1-specific genes (Fosl1, Il33, Vcam1, Mx2, Mdk, Ldlr, Hmgcr, Alpk3, Dusp5, Serpina3n).</w:t>
      </w:r>
    </w:p>
    <w:p w14:paraId="11E738A6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E74E183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4FC5B0C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03DA9F6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8AE0A9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7D96D5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B439F2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C3E90F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74CF542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E69930F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33B752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B091BD3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77D4744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C23DED5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7287722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66F2075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03CD875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948E3E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C5D232A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C1AC5D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A24C32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F5FF7F9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FB903DE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3571B4D5" wp14:editId="66331D9A">
            <wp:extent cx="5731200" cy="2870200"/>
            <wp:effectExtent l="0" t="0" r="0" b="0"/>
            <wp:docPr id="2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D63198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S8. Group classification using top 10 T2-specific biomarkers. (A)</w:t>
      </w:r>
      <w:r>
        <w:rPr>
          <w:rFonts w:ascii="Arial" w:eastAsia="Arial" w:hAnsi="Arial" w:cs="Arial"/>
          <w:sz w:val="24"/>
          <w:szCs w:val="24"/>
        </w:rPr>
        <w:t xml:space="preserve"> PCA plot and </w:t>
      </w:r>
      <w:r>
        <w:rPr>
          <w:rFonts w:ascii="Arial" w:eastAsia="Arial" w:hAnsi="Arial" w:cs="Arial"/>
          <w:b/>
          <w:sz w:val="24"/>
          <w:szCs w:val="24"/>
        </w:rPr>
        <w:t>(B)</w:t>
      </w:r>
      <w:r>
        <w:rPr>
          <w:rFonts w:ascii="Arial" w:eastAsia="Arial" w:hAnsi="Arial" w:cs="Arial"/>
          <w:sz w:val="24"/>
          <w:szCs w:val="24"/>
        </w:rPr>
        <w:t xml:space="preserve"> hierarchical clustering using top 10 T2-specific genes (Cfp, Slc46a3, Scn8a, Ly86, Casr, C1qc, Slc2a5, Fgd2, Aif1, Slc7a7).</w:t>
      </w:r>
    </w:p>
    <w:p w14:paraId="3F3954CF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57752B5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DACA48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32F859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123AE97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52038F0F" wp14:editId="6D9424CA">
            <wp:extent cx="5731200" cy="28702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EDC96C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S9. Group classification using top 10 T3-specific biomarkers. (A)</w:t>
      </w:r>
      <w:r>
        <w:rPr>
          <w:rFonts w:ascii="Arial" w:eastAsia="Arial" w:hAnsi="Arial" w:cs="Arial"/>
          <w:sz w:val="24"/>
          <w:szCs w:val="24"/>
        </w:rPr>
        <w:t xml:space="preserve"> PCA plot and </w:t>
      </w:r>
      <w:r>
        <w:rPr>
          <w:rFonts w:ascii="Arial" w:eastAsia="Arial" w:hAnsi="Arial" w:cs="Arial"/>
          <w:b/>
          <w:sz w:val="24"/>
          <w:szCs w:val="24"/>
        </w:rPr>
        <w:t>(B)</w:t>
      </w:r>
      <w:r>
        <w:rPr>
          <w:rFonts w:ascii="Arial" w:eastAsia="Arial" w:hAnsi="Arial" w:cs="Arial"/>
          <w:sz w:val="24"/>
          <w:szCs w:val="24"/>
        </w:rPr>
        <w:t xml:space="preserve"> hierarchical clustering using top 10 T3-specific genes (Slc28a2, Iqgap1, Cd14, Nt5dc2, Xdh, Msn, Lyve1, Tmem37, Rdh10, Enpp3).</w:t>
      </w:r>
    </w:p>
    <w:p w14:paraId="1D551AA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4ECAAD8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6631E6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392FC0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8DBC734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275D8E0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E0DF20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80BAD0B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67543A43" wp14:editId="254C174D">
            <wp:extent cx="5731200" cy="2870200"/>
            <wp:effectExtent l="0" t="0" r="0" b="0"/>
            <wp:docPr id="25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FA7468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S10. Group classification using top 10 T4-specific biomarkers. (A)</w:t>
      </w:r>
      <w:r>
        <w:rPr>
          <w:rFonts w:ascii="Arial" w:eastAsia="Arial" w:hAnsi="Arial" w:cs="Arial"/>
          <w:sz w:val="24"/>
          <w:szCs w:val="24"/>
        </w:rPr>
        <w:t xml:space="preserve"> PCA plot and </w:t>
      </w:r>
      <w:r>
        <w:rPr>
          <w:rFonts w:ascii="Arial" w:eastAsia="Arial" w:hAnsi="Arial" w:cs="Arial"/>
          <w:b/>
          <w:sz w:val="24"/>
          <w:szCs w:val="24"/>
        </w:rPr>
        <w:t>(B)</w:t>
      </w:r>
      <w:r>
        <w:rPr>
          <w:rFonts w:ascii="Arial" w:eastAsia="Arial" w:hAnsi="Arial" w:cs="Arial"/>
          <w:sz w:val="24"/>
          <w:szCs w:val="24"/>
        </w:rPr>
        <w:t xml:space="preserve"> hierarchical clustering using top 10 T4-specific genes (Cp, Rab27a, Rab3b, Cybrd1, Thrsp, Plcb1, Pmp22, Acot2, Cyp27a1, RT1-Db1).</w:t>
      </w:r>
    </w:p>
    <w:p w14:paraId="6D50ABD2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73269B38" wp14:editId="2B1DA0AA">
            <wp:extent cx="5731200" cy="6350000"/>
            <wp:effectExtent l="0" t="0" r="0" b="0"/>
            <wp:docPr id="24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35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DC82A9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S11. PPI network for up-regulated T1-specific markers. </w:t>
      </w:r>
      <w:r>
        <w:rPr>
          <w:rFonts w:ascii="Arial" w:eastAsia="Arial" w:hAnsi="Arial" w:cs="Arial"/>
          <w:sz w:val="24"/>
          <w:szCs w:val="24"/>
        </w:rPr>
        <w:t xml:space="preserve">Red, proteins related to response to stress (GO:0006950). Blue, proteins related to cell cycle (GO:0007049). </w:t>
      </w:r>
      <w:r>
        <w:rPr>
          <w:rFonts w:ascii="Arial" w:eastAsia="Arial" w:hAnsi="Arial" w:cs="Arial"/>
          <w:sz w:val="24"/>
          <w:szCs w:val="24"/>
        </w:rPr>
        <w:lastRenderedPageBreak/>
        <w:t xml:space="preserve">Green, proteins related to metabolic process (GO:0008152). Permalink: </w:t>
      </w:r>
      <w:hyperlink r:id="rId19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https://version-11-5.string-db.org/cgi/network?networkId=buUPVKYpauPP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088D727A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2AA97433" wp14:editId="41DB8538">
            <wp:extent cx="5731200" cy="5321300"/>
            <wp:effectExtent l="0" t="0" r="0" b="0"/>
            <wp:docPr id="10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32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6D6712" w14:textId="77777777" w:rsidR="00163C66" w:rsidRDefault="00000000">
      <w:pPr>
        <w:keepNext/>
        <w:spacing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S12. PPI network for down-regulated T1-specific markers. </w:t>
      </w:r>
      <w:r>
        <w:rPr>
          <w:rFonts w:ascii="Arial" w:eastAsia="Arial" w:hAnsi="Arial" w:cs="Arial"/>
          <w:sz w:val="24"/>
          <w:szCs w:val="24"/>
        </w:rPr>
        <w:t>Red, proteins related to nervous system development (GO:0007399). Blue, proteins related to lipid metabolic process (GO:0006629). Permalink:</w:t>
      </w:r>
    </w:p>
    <w:p w14:paraId="4117F295" w14:textId="77777777" w:rsidR="00163C66" w:rsidRDefault="00000000">
      <w:pPr>
        <w:keepNext/>
        <w:spacing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hyperlink r:id="rId21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https://version-11-5.string-db.org/cgi/network?networkId=bSj43bKYgYVn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4EC21E3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80CEC0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2C7CB84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5D77445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114300" distB="114300" distL="114300" distR="114300" wp14:anchorId="1D929421" wp14:editId="1B498737">
            <wp:extent cx="5731200" cy="6172200"/>
            <wp:effectExtent l="0" t="0" r="0" b="0"/>
            <wp:docPr id="30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17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947BDE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S13. PPI network for down-regulated T2-specific markers. </w:t>
      </w:r>
      <w:r>
        <w:rPr>
          <w:rFonts w:ascii="Arial" w:eastAsia="Arial" w:hAnsi="Arial" w:cs="Arial"/>
          <w:sz w:val="24"/>
          <w:szCs w:val="24"/>
        </w:rPr>
        <w:t xml:space="preserve">Blue, proteins related to immune response (GO:0006955). Permalink: </w:t>
      </w:r>
      <w:hyperlink r:id="rId23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https://version-11-5.string-db.org/cgi/network?networkId=bc5iq1DKBY2M</w:t>
        </w:r>
      </w:hyperlink>
      <w:r>
        <w:rPr>
          <w:rFonts w:ascii="Arial" w:eastAsia="Arial" w:hAnsi="Arial" w:cs="Arial"/>
          <w:sz w:val="24"/>
          <w:szCs w:val="24"/>
        </w:rPr>
        <w:t xml:space="preserve">. </w:t>
      </w:r>
    </w:p>
    <w:p w14:paraId="0C60D6C8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A1C760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0E97776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6ED4F88F" wp14:editId="7B506CE6">
            <wp:extent cx="5731200" cy="2667000"/>
            <wp:effectExtent l="0" t="0" r="0" b="0"/>
            <wp:docPr id="29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6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98C043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S14. PPI network T4-specific markers. </w:t>
      </w:r>
      <w:r>
        <w:rPr>
          <w:rFonts w:ascii="Arial" w:eastAsia="Arial" w:hAnsi="Arial" w:cs="Arial"/>
          <w:sz w:val="24"/>
          <w:szCs w:val="24"/>
        </w:rPr>
        <w:t>Red, proteins related to lipid metabolic process (GO:0006629). Permalink:</w:t>
      </w:r>
    </w:p>
    <w:p w14:paraId="0A148E61" w14:textId="77777777" w:rsidR="00163C66" w:rsidRDefault="00000000">
      <w:pPr>
        <w:widowControl w:val="0"/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hyperlink r:id="rId25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https://version-11-5.string-db.org/cgi/network?networkId=b7EQWDGipjBn</w:t>
        </w:r>
      </w:hyperlink>
      <w:r>
        <w:rPr>
          <w:rFonts w:ascii="Arial" w:eastAsia="Arial" w:hAnsi="Arial" w:cs="Arial"/>
          <w:sz w:val="24"/>
          <w:szCs w:val="24"/>
        </w:rPr>
        <w:t xml:space="preserve">.  </w:t>
      </w:r>
    </w:p>
    <w:p w14:paraId="51A6D004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7870CD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303357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D2809E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40FADD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88C03CA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E7A468F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3F19E43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75140AB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32A88C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1CF38E1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5C5D4C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17F8864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4A0387A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1A3532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1B8ABF2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4A93B07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B4A6CC2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13B39EE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829FEB4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E1D35C7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1A4F84C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0D64FC1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114300" distB="114300" distL="114300" distR="114300" wp14:anchorId="576EA392" wp14:editId="4A860728">
            <wp:extent cx="5731200" cy="1651000"/>
            <wp:effectExtent l="0" t="0" r="0" b="0"/>
            <wp:docPr id="26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5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BE7847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E191B7A" w14:textId="77777777" w:rsidR="00163C66" w:rsidRDefault="00000000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S15. Gene set analysis reveals altered functions/pathways across time and severity after injury. (A)</w:t>
      </w:r>
      <w:r>
        <w:rPr>
          <w:rFonts w:ascii="Arial" w:eastAsia="Arial" w:hAnsi="Arial" w:cs="Arial"/>
          <w:sz w:val="24"/>
          <w:szCs w:val="24"/>
        </w:rPr>
        <w:t xml:space="preserve"> Number of significantly altered functions for each database and experimental group. Up-regulated (red) and down-regulated (blue) refer to functions with a logarithm of the odds ratio (LOR) value greater or lower than 0, respectively. </w:t>
      </w:r>
      <w:r>
        <w:rPr>
          <w:rFonts w:ascii="Arial" w:eastAsia="Arial" w:hAnsi="Arial" w:cs="Arial"/>
          <w:b/>
          <w:sz w:val="24"/>
          <w:szCs w:val="24"/>
        </w:rPr>
        <w:t xml:space="preserve">(B) </w:t>
      </w:r>
      <w:r>
        <w:rPr>
          <w:rFonts w:ascii="Arial" w:eastAsia="Arial" w:hAnsi="Arial" w:cs="Arial"/>
          <w:sz w:val="24"/>
          <w:szCs w:val="24"/>
        </w:rPr>
        <w:t>Venn Diagram of significantly altered functional terms. Relationship between common and unique identified functions in different injury phases (T1, acute; T2, subacute; T3, early chronic; T4, late chronic). Venn diagrams constructed for up-regulated and down-regulated functions in moderate injury (left) and severe injury (right).</w:t>
      </w:r>
    </w:p>
    <w:p w14:paraId="343FEF70" w14:textId="77777777" w:rsidR="00163C66" w:rsidRDefault="00163C66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3D1668B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12CD71AF" wp14:editId="6E8F0C7B">
            <wp:extent cx="5731200" cy="4089400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8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57A794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S16. Dotplot of selection of down-regulated metabolism functions.</w:t>
      </w:r>
    </w:p>
    <w:p w14:paraId="34C4C4BD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BBC56A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356511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172A1C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5B4F36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9EACBC0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F975EF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D22F7E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18C5DE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0FA9DB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9813D8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E238D1D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00DEB696" wp14:editId="7B0F3B2E">
            <wp:extent cx="5731200" cy="3797300"/>
            <wp:effectExtent l="0" t="0" r="0" b="0"/>
            <wp:docPr id="23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97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E9562B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S17. Hierarchical heatmap of genes in GO term GO:0006695 (cholesterol biosynthetic process).</w:t>
      </w:r>
    </w:p>
    <w:p w14:paraId="169B982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A28AC30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562AB18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54A82A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682E65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6CC18E8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EE4730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D1E430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CFDB80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C89107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149D370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8415597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125E57BD" wp14:editId="4858AE9F">
            <wp:extent cx="5731200" cy="3187700"/>
            <wp:effectExtent l="0" t="0" r="0" b="0"/>
            <wp:docPr id="20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29"/>
                    <a:srcRect t="467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8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7D5CE6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S18. Dotplot of mitochondria related functions.</w:t>
      </w:r>
    </w:p>
    <w:p w14:paraId="1D618B45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22893E2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9BE195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CDE3EE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520BF4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4579F4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0852F98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7FAFC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D879C7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68B6BE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DB6A7C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350301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6530E9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B62D3CE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0D2FF61D" wp14:editId="04015CAD">
            <wp:extent cx="5731200" cy="4229100"/>
            <wp:effectExtent l="0" t="0" r="0" b="0"/>
            <wp:docPr id="14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30"/>
                    <a:srcRect t="4948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2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64345D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S19. Dotplot of neurotransmission related functions.</w:t>
      </w:r>
    </w:p>
    <w:p w14:paraId="4439CC45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85E4FE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52C2CC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ABEC2C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34443F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CF0EAA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1669C74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88CBFD2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AA79F2D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B924A8D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642EED2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434D1DC8" wp14:editId="007C5FB2">
            <wp:extent cx="5731200" cy="4991100"/>
            <wp:effectExtent l="0" t="0" r="0" b="0"/>
            <wp:docPr id="17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31"/>
                    <a:srcRect t="303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991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D0C1D6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S20. Dotplot of synapsis related functions.</w:t>
      </w:r>
    </w:p>
    <w:p w14:paraId="33A8F68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4064CF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0C39B3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B264DA4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77D836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527567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12E0992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E32122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1EF8CDB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3E6FE191" wp14:editId="652D5077">
            <wp:extent cx="5731200" cy="2997200"/>
            <wp:effectExtent l="0" t="0" r="0" b="0"/>
            <wp:docPr id="21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32"/>
                    <a:srcRect t="5762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9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FB7EDA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Fig. S21. Dotplot of nervous system development related functions.</w:t>
      </w:r>
    </w:p>
    <w:p w14:paraId="343E747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B07026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6F4D97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A47FAE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6716B1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8268F9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A5FC18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690A69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654F34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40602F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5ACE0ED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43DAF1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D734B77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B22F7F5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78F6938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lastRenderedPageBreak/>
        <w:drawing>
          <wp:inline distT="114300" distB="114300" distL="114300" distR="114300" wp14:anchorId="1674D3E7" wp14:editId="1AF20343">
            <wp:extent cx="5731200" cy="1600200"/>
            <wp:effectExtent l="0" t="0" r="0" b="0"/>
            <wp:docPr id="13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0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C43C86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S22. Summary of transcription factor activity inference analysis. (A) </w:t>
      </w:r>
      <w:r>
        <w:rPr>
          <w:rFonts w:ascii="Arial" w:eastAsia="Arial" w:hAnsi="Arial" w:cs="Arial"/>
          <w:sz w:val="24"/>
          <w:szCs w:val="24"/>
        </w:rPr>
        <w:t xml:space="preserve">Number of significantly altered TFs for each experimental group. Activated (red) and deactivated (blue) refer to TFs with a NES value greater or lower than 0, respectively. </w:t>
      </w:r>
      <w:r>
        <w:rPr>
          <w:rFonts w:ascii="Arial" w:eastAsia="Arial" w:hAnsi="Arial" w:cs="Arial"/>
          <w:b/>
          <w:sz w:val="24"/>
          <w:szCs w:val="24"/>
        </w:rPr>
        <w:t xml:space="preserve">(B) </w:t>
      </w:r>
      <w:r>
        <w:rPr>
          <w:rFonts w:ascii="Arial" w:eastAsia="Arial" w:hAnsi="Arial" w:cs="Arial"/>
          <w:sz w:val="24"/>
          <w:szCs w:val="24"/>
        </w:rPr>
        <w:t xml:space="preserve">Venn Diagram of significantly altered TFs. Relationship between the common and unique identified functions in different injury phases (T1, acute; T2, subacute, T3., </w:t>
      </w:r>
      <w:r>
        <w:rPr>
          <w:rFonts w:ascii="Arial" w:eastAsia="Arial" w:hAnsi="Arial" w:cs="Arial"/>
          <w:sz w:val="24"/>
          <w:szCs w:val="24"/>
        </w:rPr>
        <w:lastRenderedPageBreak/>
        <w:t>early chronic, T4., late chronic). Venn diagrams constructed for up-regulated and down-regulated functions for moderate (left) and severe injury (right).</w:t>
      </w:r>
    </w:p>
    <w:p w14:paraId="3A52967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D63B03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46B3AE4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0BF16AA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DD56FC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02E982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68F44F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1549D4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623855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BBE2EF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A1BCE6E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7CB4DF8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D7AEE3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012C7D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B89851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5C43C45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5173D99C" wp14:editId="64701F52">
            <wp:extent cx="5229225" cy="29718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34"/>
                    <a:srcRect r="1201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48E647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Fig. S23. Pearson correlation coefficient after comparing logFC values obtained in qPCR analysis with those from the rat meta-analysis and mouse dataset.</w:t>
      </w:r>
    </w:p>
    <w:p w14:paraId="3BB70903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7E17C0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060CEE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CEE0ED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3BB49C9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30A600A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114300" distB="114300" distL="114300" distR="114300" wp14:anchorId="3C6E6AF9" wp14:editId="730AB8A8">
            <wp:extent cx="5731200" cy="3543300"/>
            <wp:effectExtent l="0" t="0" r="0" b="0"/>
            <wp:docPr id="1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132612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Fig. S24. Normalized expression of 12 gene severity-markers in GSE151371 dataset. </w:t>
      </w:r>
      <w:r>
        <w:rPr>
          <w:rFonts w:ascii="Arial" w:eastAsia="Arial" w:hAnsi="Arial" w:cs="Arial"/>
          <w:sz w:val="24"/>
          <w:szCs w:val="24"/>
        </w:rPr>
        <w:t>Red, AIS A group; black, AIS D group; green, healthy controls. These genes are characterized by an increasing dysregulation as the SCI severity increases.</w:t>
      </w:r>
    </w:p>
    <w:p w14:paraId="49A82A20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364E032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FF9BE72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B0C04E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725554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E448D0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6E4483F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EB483E2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E345DA1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9F8ABE0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3E687AB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DEF760C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6909CC6" w14:textId="77777777" w:rsidR="00163C66" w:rsidRDefault="00163C66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4DB3FDB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Supplementary Tables S1-S21 (External Excel files)</w:t>
      </w:r>
    </w:p>
    <w:p w14:paraId="7A2D8BEC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Table S1. </w:t>
      </w:r>
      <w:r>
        <w:rPr>
          <w:rFonts w:ascii="Arial" w:eastAsia="Arial" w:hAnsi="Arial" w:cs="Arial"/>
          <w:sz w:val="24"/>
          <w:szCs w:val="24"/>
        </w:rPr>
        <w:t>Studies included in meta-analysis. GEO series ID, platform, year and publications associated from selected datasets are indicated.</w:t>
      </w:r>
    </w:p>
    <w:p w14:paraId="405DD4FF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S2.</w:t>
      </w:r>
      <w:r>
        <w:rPr>
          <w:rFonts w:ascii="Arial" w:eastAsia="Arial" w:hAnsi="Arial" w:cs="Arial"/>
          <w:sz w:val="24"/>
          <w:szCs w:val="24"/>
        </w:rPr>
        <w:t xml:space="preserve"> Injury method for each study. GEO series ID, injury method and category assigned for meta-analysis.</w:t>
      </w:r>
    </w:p>
    <w:p w14:paraId="6AC102A4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Table S3. </w:t>
      </w:r>
      <w:r>
        <w:rPr>
          <w:rFonts w:ascii="Arial" w:eastAsia="Arial" w:hAnsi="Arial" w:cs="Arial"/>
          <w:sz w:val="24"/>
          <w:szCs w:val="24"/>
        </w:rPr>
        <w:t>Sample annotation. GEO series ID, sample Id, group, severity level, phase and time for each sample.</w:t>
      </w:r>
    </w:p>
    <w:p w14:paraId="098F3CC6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S4.</w:t>
      </w:r>
      <w:r>
        <w:rPr>
          <w:rFonts w:ascii="Arial" w:eastAsia="Arial" w:hAnsi="Arial" w:cs="Arial"/>
          <w:sz w:val="24"/>
          <w:szCs w:val="24"/>
        </w:rPr>
        <w:t xml:space="preserve"> Summary of sample distribution. Barplots showing the sample distribution by study, severity and phase.</w:t>
      </w:r>
    </w:p>
    <w:p w14:paraId="571B40AF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S5.</w:t>
      </w:r>
      <w:r>
        <w:rPr>
          <w:rFonts w:ascii="Arial" w:eastAsia="Arial" w:hAnsi="Arial" w:cs="Arial"/>
          <w:sz w:val="24"/>
          <w:szCs w:val="24"/>
        </w:rPr>
        <w:t xml:space="preserve"> Comparisons applied for specific biomarkers identification.</w:t>
      </w:r>
    </w:p>
    <w:p w14:paraId="4B8D61B9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Table S6. </w:t>
      </w:r>
      <w:r>
        <w:rPr>
          <w:rFonts w:ascii="Arial" w:eastAsia="Arial" w:hAnsi="Arial" w:cs="Arial"/>
          <w:sz w:val="24"/>
          <w:szCs w:val="24"/>
        </w:rPr>
        <w:t>Severity-specific markers. Limma test results of comparison (S1, S2, S3, S4) vs (M1, M2, M3, M4).</w:t>
      </w:r>
    </w:p>
    <w:p w14:paraId="09EAE27B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S7.</w:t>
      </w:r>
      <w:r>
        <w:rPr>
          <w:rFonts w:ascii="Arial" w:eastAsia="Arial" w:hAnsi="Arial" w:cs="Arial"/>
          <w:sz w:val="24"/>
          <w:szCs w:val="24"/>
        </w:rPr>
        <w:t xml:space="preserve"> T1-specific biomarker genes. Limma test results of comparison (M1, S1) vs (M2, M3, M4, S2, S3, S4).</w:t>
      </w:r>
    </w:p>
    <w:p w14:paraId="12FF4E38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S8.</w:t>
      </w:r>
      <w:r>
        <w:rPr>
          <w:rFonts w:ascii="Arial" w:eastAsia="Arial" w:hAnsi="Arial" w:cs="Arial"/>
          <w:sz w:val="24"/>
          <w:szCs w:val="24"/>
        </w:rPr>
        <w:t xml:space="preserve"> T2-specific biomarker genes. Limma test results of comparison (M2, S2) vs (M1, M3, M4, S1, S3, S4).</w:t>
      </w:r>
    </w:p>
    <w:p w14:paraId="67688366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S9.</w:t>
      </w:r>
      <w:r>
        <w:rPr>
          <w:rFonts w:ascii="Arial" w:eastAsia="Arial" w:hAnsi="Arial" w:cs="Arial"/>
          <w:sz w:val="24"/>
          <w:szCs w:val="24"/>
        </w:rPr>
        <w:t xml:space="preserve"> T3-specific biomarker genes. Limma test results of comparison (M3, S3) vs (M1, M2, M4, S1, S2, S4).</w:t>
      </w:r>
    </w:p>
    <w:p w14:paraId="2F85BDB7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S10.</w:t>
      </w:r>
      <w:r>
        <w:rPr>
          <w:rFonts w:ascii="Arial" w:eastAsia="Arial" w:hAnsi="Arial" w:cs="Arial"/>
          <w:sz w:val="24"/>
          <w:szCs w:val="24"/>
        </w:rPr>
        <w:t xml:space="preserve"> T4-specific biomarker genes. Limma test results of comparison (M4, S4) vs (M1, M2, M3, S1, S3, S4). </w:t>
      </w:r>
    </w:p>
    <w:p w14:paraId="38CBF145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Table S11. </w:t>
      </w:r>
      <w:r>
        <w:rPr>
          <w:rFonts w:ascii="Arial" w:eastAsia="Arial" w:hAnsi="Arial" w:cs="Arial"/>
          <w:sz w:val="24"/>
          <w:szCs w:val="24"/>
        </w:rPr>
        <w:t xml:space="preserve">Interactions TF-target. </w:t>
      </w:r>
    </w:p>
    <w:p w14:paraId="02F3AB1A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Table S12. </w:t>
      </w:r>
      <w:r>
        <w:rPr>
          <w:rFonts w:ascii="Arial" w:eastAsia="Arial" w:hAnsi="Arial" w:cs="Arial"/>
          <w:sz w:val="24"/>
          <w:szCs w:val="24"/>
        </w:rPr>
        <w:t xml:space="preserve">Li et al., 2022 DGE analysis results (1 dpi vs control). </w:t>
      </w:r>
    </w:p>
    <w:p w14:paraId="58F7BF6A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S13.</w:t>
      </w:r>
      <w:r>
        <w:rPr>
          <w:rFonts w:ascii="Arial" w:eastAsia="Arial" w:hAnsi="Arial" w:cs="Arial"/>
          <w:sz w:val="24"/>
          <w:szCs w:val="24"/>
        </w:rPr>
        <w:t xml:space="preserve"> Li et al., 2022 DGE analysis results (7 dpi vs control). </w:t>
      </w:r>
    </w:p>
    <w:p w14:paraId="33771D7A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S14.</w:t>
      </w:r>
      <w:r>
        <w:rPr>
          <w:rFonts w:ascii="Arial" w:eastAsia="Arial" w:hAnsi="Arial" w:cs="Arial"/>
          <w:sz w:val="24"/>
          <w:szCs w:val="24"/>
        </w:rPr>
        <w:t xml:space="preserve"> Li et al., 2022 DGE analysis results (28 dpi vs control). </w:t>
      </w:r>
    </w:p>
    <w:p w14:paraId="7BB2A53D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S15.</w:t>
      </w:r>
      <w:r>
        <w:rPr>
          <w:rFonts w:ascii="Arial" w:eastAsia="Arial" w:hAnsi="Arial" w:cs="Arial"/>
          <w:sz w:val="24"/>
          <w:szCs w:val="24"/>
        </w:rPr>
        <w:t xml:space="preserve"> Li et al., 2022 DGE analysis results (42 dpi vs control). </w:t>
      </w:r>
    </w:p>
    <w:p w14:paraId="0F79FFC9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Table S16.</w:t>
      </w:r>
      <w:r>
        <w:rPr>
          <w:rFonts w:ascii="Arial" w:eastAsia="Arial" w:hAnsi="Arial" w:cs="Arial"/>
          <w:sz w:val="24"/>
          <w:szCs w:val="24"/>
        </w:rPr>
        <w:t xml:space="preserve"> Mouse gene expression patterns matrix.</w:t>
      </w:r>
    </w:p>
    <w:p w14:paraId="565687C7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S17.</w:t>
      </w:r>
      <w:r>
        <w:rPr>
          <w:rFonts w:ascii="Arial" w:eastAsia="Arial" w:hAnsi="Arial" w:cs="Arial"/>
          <w:sz w:val="24"/>
          <w:szCs w:val="24"/>
        </w:rPr>
        <w:t xml:space="preserve"> Correlation analysis.</w:t>
      </w:r>
    </w:p>
    <w:p w14:paraId="50A3BB41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S18.</w:t>
      </w:r>
      <w:r>
        <w:rPr>
          <w:rFonts w:ascii="Arial" w:eastAsia="Arial" w:hAnsi="Arial" w:cs="Arial"/>
          <w:sz w:val="24"/>
          <w:szCs w:val="24"/>
        </w:rPr>
        <w:t xml:space="preserve"> GSE151371 DEG analysis results (AIS A vs AIS D).</w:t>
      </w:r>
    </w:p>
    <w:p w14:paraId="34537DE9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S19.</w:t>
      </w:r>
      <w:r>
        <w:rPr>
          <w:rFonts w:ascii="Arial" w:eastAsia="Arial" w:hAnsi="Arial" w:cs="Arial"/>
          <w:sz w:val="24"/>
          <w:szCs w:val="24"/>
        </w:rPr>
        <w:t xml:space="preserve"> Li et al., 2022 mouse dataset sample information.</w:t>
      </w:r>
    </w:p>
    <w:p w14:paraId="0212308F" w14:textId="77777777" w:rsidR="00163C66" w:rsidRDefault="00000000">
      <w:pPr>
        <w:keepNext/>
        <w:spacing w:before="240" w:after="6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Table S20.</w:t>
      </w:r>
      <w:r>
        <w:rPr>
          <w:rFonts w:ascii="Arial" w:eastAsia="Arial" w:hAnsi="Arial" w:cs="Arial"/>
          <w:sz w:val="24"/>
          <w:szCs w:val="24"/>
        </w:rPr>
        <w:t xml:space="preserve"> GSE151371 dataset sample information.</w:t>
      </w:r>
    </w:p>
    <w:p w14:paraId="0EDD9A6B" w14:textId="77777777" w:rsidR="00163C66" w:rsidRDefault="00000000">
      <w:pPr>
        <w:keepNext/>
        <w:spacing w:before="240" w:after="60" w:line="240" w:lineRule="auto"/>
        <w:jc w:val="both"/>
      </w:pPr>
      <w:r>
        <w:rPr>
          <w:rFonts w:ascii="Arial" w:eastAsia="Arial" w:hAnsi="Arial" w:cs="Arial"/>
          <w:b/>
          <w:sz w:val="24"/>
          <w:szCs w:val="24"/>
        </w:rPr>
        <w:t>Table S21.</w:t>
      </w:r>
      <w:r>
        <w:rPr>
          <w:rFonts w:ascii="Arial" w:eastAsia="Arial" w:hAnsi="Arial" w:cs="Arial"/>
          <w:sz w:val="24"/>
          <w:szCs w:val="24"/>
        </w:rPr>
        <w:t xml:space="preserve"> Primer sequences.</w:t>
      </w:r>
    </w:p>
    <w:sectPr w:rsidR="00163C66">
      <w:footerReference w:type="default" r:id="rId3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09CF7" w14:textId="77777777" w:rsidR="00407481" w:rsidRDefault="00407481">
      <w:pPr>
        <w:spacing w:line="240" w:lineRule="auto"/>
      </w:pPr>
      <w:r>
        <w:separator/>
      </w:r>
    </w:p>
  </w:endnote>
  <w:endnote w:type="continuationSeparator" w:id="0">
    <w:p w14:paraId="7F9B0AD9" w14:textId="77777777" w:rsidR="00407481" w:rsidRDefault="004074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50ABD" w14:textId="77777777" w:rsidR="00163C66" w:rsidRDefault="00000000">
    <w:pPr>
      <w:jc w:val="right"/>
    </w:pPr>
    <w:r>
      <w:rPr>
        <w:rFonts w:ascii="Arial" w:eastAsia="Arial" w:hAnsi="Arial" w:cs="Arial"/>
        <w:sz w:val="24"/>
        <w:szCs w:val="24"/>
      </w:rPr>
      <w:fldChar w:fldCharType="begin"/>
    </w:r>
    <w:r>
      <w:rPr>
        <w:rFonts w:ascii="Arial" w:eastAsia="Arial" w:hAnsi="Arial" w:cs="Arial"/>
        <w:sz w:val="24"/>
        <w:szCs w:val="24"/>
      </w:rPr>
      <w:instrText>PAGE</w:instrText>
    </w:r>
    <w:r>
      <w:rPr>
        <w:rFonts w:ascii="Arial" w:eastAsia="Arial" w:hAnsi="Arial" w:cs="Arial"/>
        <w:sz w:val="24"/>
        <w:szCs w:val="24"/>
      </w:rPr>
      <w:fldChar w:fldCharType="separate"/>
    </w:r>
    <w:r w:rsidR="00625656">
      <w:rPr>
        <w:rFonts w:ascii="Arial" w:eastAsia="Arial" w:hAnsi="Arial" w:cs="Arial"/>
        <w:noProof/>
        <w:sz w:val="24"/>
        <w:szCs w:val="24"/>
      </w:rPr>
      <w:t>1</w:t>
    </w:r>
    <w:r>
      <w:rPr>
        <w:rFonts w:ascii="Arial" w:eastAsia="Arial" w:hAnsi="Arial" w:cs="Arial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D3C62" w14:textId="77777777" w:rsidR="00407481" w:rsidRDefault="00407481">
      <w:pPr>
        <w:spacing w:line="240" w:lineRule="auto"/>
      </w:pPr>
      <w:r>
        <w:separator/>
      </w:r>
    </w:p>
  </w:footnote>
  <w:footnote w:type="continuationSeparator" w:id="0">
    <w:p w14:paraId="4D47AD1A" w14:textId="77777777" w:rsidR="00407481" w:rsidRDefault="0040748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C66"/>
    <w:rsid w:val="00163C66"/>
    <w:rsid w:val="00407481"/>
    <w:rsid w:val="0062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14378"/>
  <w15:docId w15:val="{35EEFA12-45CA-4D47-9977-31A55EC3E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8"/>
        <w:szCs w:val="28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ersion-11-5.string-db.org/cgi/network?networkId=bYnq68Vl7nAs" TargetMode="External"/><Relationship Id="rId18" Type="http://schemas.openxmlformats.org/officeDocument/2006/relationships/image" Target="media/image11.png"/><Relationship Id="rId26" Type="http://schemas.openxmlformats.org/officeDocument/2006/relationships/image" Target="media/image15.png"/><Relationship Id="rId21" Type="http://schemas.openxmlformats.org/officeDocument/2006/relationships/hyperlink" Target="https://version-11-5.string-db.org/cgi/network?networkId=bSj43bKYgYVn" TargetMode="External"/><Relationship Id="rId34" Type="http://schemas.openxmlformats.org/officeDocument/2006/relationships/image" Target="media/image23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hyperlink" Target="https://version-11-5.string-db.org/cgi/network?networkId=b7EQWDGipjBn" TargetMode="External"/><Relationship Id="rId33" Type="http://schemas.openxmlformats.org/officeDocument/2006/relationships/image" Target="media/image22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image" Target="media/image18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version-11-5.string-db.org/cgi/network?networkId=bAOGP0hyvNCg" TargetMode="External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hyperlink" Target="https://version-11-5.string-db.org/cgi/network?networkId=bc5iq1DKBY2M" TargetMode="External"/><Relationship Id="rId28" Type="http://schemas.openxmlformats.org/officeDocument/2006/relationships/image" Target="media/image17.png"/><Relationship Id="rId36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hyperlink" Target="https://version-11-5.string-db.org/cgi/network?networkId=buUPVKYpauPP" TargetMode="External"/><Relationship Id="rId31" Type="http://schemas.openxmlformats.org/officeDocument/2006/relationships/image" Target="media/image20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27</Pages>
  <Words>1262</Words>
  <Characters>7199</Characters>
  <Application>Microsoft Office Word</Application>
  <DocSecurity>0</DocSecurity>
  <Lines>59</Lines>
  <Paragraphs>16</Paragraphs>
  <ScaleCrop>false</ScaleCrop>
  <Company>Springer Nature</Company>
  <LinksUpToDate>false</LinksUpToDate>
  <CharactersWithSpaces>8445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2024-05-08T09:20:00Z</dcterms:created>
  <dcterms:modified xsi:type="dcterms:W3CDTF">2024-05-08T09:20:00Z</dcterms:modified>
</cp:coreProperties>
</file>