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703CC" w:rsidRPr="007A6DB1" w:rsidRDefault="008B294A" w:rsidP="00C703CC">
      <w:pPr>
        <w:widowControl w:val="0"/>
        <w:autoSpaceDE w:val="0"/>
        <w:autoSpaceDN w:val="0"/>
        <w:adjustRightInd w:val="0"/>
        <w:spacing w:line="480" w:lineRule="auto"/>
        <w:rPr>
          <w:b/>
          <w:bCs/>
        </w:rPr>
      </w:pPr>
      <w:r>
        <w:rPr>
          <w:b/>
          <w:bCs/>
        </w:rPr>
        <w:t>Supplementary Table S</w:t>
      </w:r>
      <w:r>
        <w:rPr>
          <w:b/>
          <w:bCs/>
        </w:rPr>
        <w:t>4</w:t>
      </w:r>
      <w:r w:rsidR="00C703CC" w:rsidRPr="007A6DB1">
        <w:rPr>
          <w:b/>
          <w:bCs/>
        </w:rPr>
        <w:t>. Risk of Bias Assessments for Observational Studies (QUIPS tool)</w:t>
      </w:r>
    </w:p>
    <w:tbl>
      <w:tblPr>
        <w:tblW w:w="9225" w:type="dxa"/>
        <w:tblInd w:w="-5" w:type="dxa"/>
        <w:tblLook w:val="04A0" w:firstRow="1" w:lastRow="0" w:firstColumn="1" w:lastColumn="0" w:noHBand="0" w:noVBand="1"/>
      </w:tblPr>
      <w:tblGrid>
        <w:gridCol w:w="1655"/>
        <w:gridCol w:w="1262"/>
        <w:gridCol w:w="1262"/>
        <w:gridCol w:w="1262"/>
        <w:gridCol w:w="1278"/>
        <w:gridCol w:w="1278"/>
        <w:gridCol w:w="1228"/>
      </w:tblGrid>
      <w:tr w:rsidR="00C703CC" w:rsidRPr="002C4272" w:rsidTr="00F56E3A">
        <w:trPr>
          <w:trHeight w:val="772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>Author (Year)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>Study Participation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 xml:space="preserve">Study Attrition    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>Prognostic Factor Measurement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>Outcome Measurement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>Study Confounding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>Statistical Analysis and Reporting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7A6DB1">
              <w:rPr>
                <w:rFonts w:eastAsia="Times New Roman"/>
                <w:color w:val="000000"/>
                <w:sz w:val="16"/>
                <w:szCs w:val="16"/>
              </w:rPr>
              <w:t>Aherne</w:t>
            </w:r>
            <w:proofErr w:type="spellEnd"/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 (2017)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7A6DB1">
              <w:rPr>
                <w:rFonts w:eastAsia="Times New Roman"/>
                <w:color w:val="000000"/>
                <w:sz w:val="16"/>
                <w:szCs w:val="16"/>
              </w:rPr>
              <w:t>Selzler</w:t>
            </w:r>
            <w:proofErr w:type="spellEnd"/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 (2016)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7A6DB1">
              <w:rPr>
                <w:rFonts w:eastAsia="Times New Roman"/>
                <w:color w:val="000000"/>
                <w:sz w:val="16"/>
                <w:szCs w:val="16"/>
              </w:rPr>
              <w:t>Craike</w:t>
            </w:r>
            <w:proofErr w:type="spellEnd"/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 (2016)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81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van Montfort (2016)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Brown (2016)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7A6DB1">
              <w:rPr>
                <w:rFonts w:eastAsia="Times New Roman"/>
                <w:color w:val="000000"/>
                <w:sz w:val="16"/>
                <w:szCs w:val="16"/>
              </w:rPr>
              <w:t>Pakzad</w:t>
            </w:r>
            <w:proofErr w:type="spellEnd"/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 (2013)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Hogg (2012)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7A6DB1">
              <w:rPr>
                <w:rFonts w:eastAsia="Times New Roman"/>
                <w:color w:val="000000"/>
                <w:sz w:val="16"/>
                <w:szCs w:val="16"/>
              </w:rPr>
              <w:t>Selzler</w:t>
            </w:r>
            <w:proofErr w:type="spellEnd"/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 (2012)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Casey (2008)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Fan (2008)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Gallagher (2003)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Tooth (1992)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Ades (1992)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Jensen (2016)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Pickering (2013)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7A6DB1">
              <w:rPr>
                <w:rFonts w:eastAsia="Times New Roman"/>
                <w:color w:val="000000"/>
                <w:sz w:val="16"/>
                <w:szCs w:val="16"/>
              </w:rPr>
              <w:t>Mudge</w:t>
            </w:r>
            <w:proofErr w:type="spellEnd"/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 (2013)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Tiedemann (2012)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Messer (2007)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92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Cox (2013)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703CC" w:rsidRPr="007A6DB1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703CC" w:rsidRPr="00842A4A" w:rsidTr="00F56E3A">
        <w:trPr>
          <w:trHeight w:val="181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7A6DB1" w:rsidRDefault="00C703CC" w:rsidP="00F56E3A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7A6DB1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7A6DB1" w:rsidRDefault="00C703CC" w:rsidP="00F56E3A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7A6DB1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7A6DB1" w:rsidRDefault="00C703CC" w:rsidP="00F56E3A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7A6DB1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7A6DB1" w:rsidRDefault="00C703CC" w:rsidP="00F56E3A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7A6DB1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7A6DB1" w:rsidRDefault="00C703CC" w:rsidP="00F56E3A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7A6DB1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7A6DB1" w:rsidRDefault="00C703CC" w:rsidP="00F56E3A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7A6DB1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7A6DB1" w:rsidRDefault="00C703CC" w:rsidP="00F56E3A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7A6DB1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C703CC" w:rsidRPr="004E68B3" w:rsidTr="00F56E3A">
        <w:trPr>
          <w:trHeight w:val="181"/>
        </w:trPr>
        <w:tc>
          <w:tcPr>
            <w:tcW w:w="1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4E68B3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4E68B3">
              <w:rPr>
                <w:rFonts w:eastAsia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4E68B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4E68B3">
              <w:rPr>
                <w:rFonts w:eastAsia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4E68B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4E68B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4E68B3">
              <w:rPr>
                <w:rFonts w:eastAsia="Times New Roman"/>
                <w:color w:val="000000"/>
                <w:sz w:val="16"/>
                <w:szCs w:val="16"/>
              </w:rPr>
              <w:t>High</w:t>
            </w:r>
          </w:p>
        </w:tc>
      </w:tr>
    </w:tbl>
    <w:p w:rsidR="00D43E61" w:rsidRPr="00C703CC" w:rsidRDefault="008B294A">
      <w:pPr>
        <w:rPr>
          <w:b/>
          <w:bCs/>
        </w:rPr>
      </w:pPr>
    </w:p>
    <w:sectPr w:rsidR="00D43E61" w:rsidRPr="00C703CC" w:rsidSect="00381E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3CC"/>
    <w:rsid w:val="001F5770"/>
    <w:rsid w:val="002C4272"/>
    <w:rsid w:val="00381E34"/>
    <w:rsid w:val="00697478"/>
    <w:rsid w:val="006F3624"/>
    <w:rsid w:val="00724019"/>
    <w:rsid w:val="00872DFA"/>
    <w:rsid w:val="008B294A"/>
    <w:rsid w:val="009110EB"/>
    <w:rsid w:val="00C70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42BA36"/>
  <w14:defaultImageDpi w14:val="32767"/>
  <w15:chartTrackingRefBased/>
  <w15:docId w15:val="{F1E68FDA-E7B5-404C-A6FD-8435D0649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703CC"/>
    <w:rPr>
      <w:rFonts w:ascii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Shaw</dc:creator>
  <cp:keywords/>
  <dc:description/>
  <cp:lastModifiedBy>Julia Shaw</cp:lastModifiedBy>
  <cp:revision>3</cp:revision>
  <dcterms:created xsi:type="dcterms:W3CDTF">2020-07-13T20:20:00Z</dcterms:created>
  <dcterms:modified xsi:type="dcterms:W3CDTF">2020-07-13T20:27:00Z</dcterms:modified>
</cp:coreProperties>
</file>