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E6AD0" w:rsidRPr="007A6DB1" w:rsidRDefault="000E6390" w:rsidP="00EE6AD0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</w:t>
      </w:r>
      <w:r w:rsidR="00EE6AD0">
        <w:rPr>
          <w:b/>
          <w:bCs/>
        </w:rPr>
        <w:t xml:space="preserve"> </w:t>
      </w:r>
      <w:r>
        <w:rPr>
          <w:b/>
          <w:bCs/>
        </w:rPr>
        <w:t>S</w:t>
      </w:r>
      <w:r w:rsidR="00EE6AD0">
        <w:rPr>
          <w:b/>
          <w:bCs/>
        </w:rPr>
        <w:t>1</w:t>
      </w:r>
      <w:r w:rsidR="00EE6AD0" w:rsidRPr="007A6DB1">
        <w:rPr>
          <w:b/>
          <w:bCs/>
        </w:rPr>
        <w:t>. Predictors of Exercise Adherence for Cardiac Rehabilitation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17"/>
        <w:gridCol w:w="3259"/>
        <w:gridCol w:w="711"/>
        <w:gridCol w:w="3119"/>
        <w:gridCol w:w="854"/>
      </w:tblGrid>
      <w:tr w:rsidR="00EE6AD0" w:rsidRPr="00A1511E" w:rsidTr="00F56E3A">
        <w:trPr>
          <w:trHeight w:val="170"/>
        </w:trPr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Study</w:t>
            </w:r>
          </w:p>
        </w:tc>
        <w:tc>
          <w:tcPr>
            <w:tcW w:w="17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Cluster</w:t>
            </w:r>
          </w:p>
        </w:tc>
        <w:tc>
          <w:tcPr>
            <w:tcW w:w="16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Effect size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Direction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Casey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2008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 (older patients more likely to complete)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1.04 (1.03–1.06), p &lt; 0.01</w:t>
            </w:r>
          </w:p>
        </w:tc>
        <w:tc>
          <w:tcPr>
            <w:tcW w:w="456" w:type="pct"/>
            <w:tcBorders>
              <w:top w:val="single" w:sz="4" w:space="0" w:color="auto"/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logistic regression: employed (categorial: employed vs 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not-employed</w:t>
            </w:r>
            <w:proofErr w:type="gramEnd"/>
            <w:r w:rsidRPr="00A1511E">
              <w:rPr>
                <w:rFonts w:eastAsia="Times New Roman"/>
                <w:color w:val="000000"/>
                <w:sz w:val="16"/>
                <w:szCs w:val="16"/>
              </w:rPr>
              <w:t>/retired)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1.37 (0.78–2.40)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logistic regression: gender (categorial: male vs female)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1.34 (0.86–2.06)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logistic regression: body mass index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0.99 (0.95–1.02)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741" w:type="pct"/>
            <w:shd w:val="clear" w:color="auto" w:fill="auto"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Depression (BDI) score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0.96 (0.93–0.99), p &lt;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Tooth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1992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Scale of Status and Prestige score (high score = lower social standing)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CHD duration (months)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Time since MI (months)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Cigarettes (packyears)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Hypertension (</w:t>
            </w:r>
            <w:proofErr w:type="spellStart"/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yes,no</w:t>
            </w:r>
            <w:proofErr w:type="spellEnd"/>
            <w:proofErr w:type="gramEnd"/>
            <w:r w:rsidRPr="00A1511E"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Obesity (BMI)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Cholesterol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Expectations (high score = optimistic)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Psychological status (profile of mood states 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score</w:t>
            </w:r>
            <w:proofErr w:type="gramEnd"/>
            <w:r w:rsidRPr="00A1511E"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Previous Exercise (MET hours/week)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&gt;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Gallagher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2003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Unemployed or retired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0.20 (0.07-0.58), p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 55–70 (vs &gt;70)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1.72 (1.10 -2.70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),  p</w:t>
            </w:r>
            <w:proofErr w:type="gramEnd"/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CABG diagnosis (vs MI)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6.82 (1.84-25.21), p &lt;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Perceived control 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0.92 (0.85-1.00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),  p</w:t>
            </w:r>
            <w:proofErr w:type="gramEnd"/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Personal stressful event 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OR 0.21 (0.06-0.73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),  p</w:t>
            </w:r>
            <w:proofErr w:type="gramEnd"/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 &lt; 0.</w:t>
            </w: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proofErr w:type="spell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Pakzad</w:t>
            </w:r>
            <w:proofErr w:type="spellEnd"/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2013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Identity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0.45, t = 0.54, b = 0.11,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HDL cholesterol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β = 18.53, t = 2.74, b = 0.41, p &lt; 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0.01 ,</w:t>
            </w:r>
            <w:proofErr w:type="gramEnd"/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 F = 9.15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Anxiety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0.91, t = 2.73, b = 0.41, p &lt; 0.01, F = 9.36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Consequences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β = -0.37, t = -0.73, b = -0.16, p &gt; 0.01 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Chronology (acute/chronic)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0.23, t = 0.61, b = 0.11,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Treatment control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 -0.31, t = -0.36, b = - 0.08,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Personal control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β =0.18, t = 0.81, b = 0.06, p &gt; 0.01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Ades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1992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Strength of physician recommendation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Commute time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E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+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Patient "denying" severity of illness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Presence of depression before hospitalization 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O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p &lt; 0.05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-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Montfort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et al. (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2016</w:t>
            </w:r>
            <w:r>
              <w:rPr>
                <w:rFonts w:eastAsia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Female sex 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0.99 (0.34-2.90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;</w:t>
            </w:r>
            <w:proofErr w:type="gramEnd"/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0.98 (0.36-2.67)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.96 (0.92-1.01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;</w:t>
            </w:r>
            <w:proofErr w:type="gramEnd"/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0.97 (0.92-1.02)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 xml:space="preserve">Positive affect </w:t>
            </w:r>
          </w:p>
        </w:tc>
        <w:tc>
          <w:tcPr>
            <w:tcW w:w="380" w:type="pct"/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66" w:type="pct"/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1.02 (0.94-1.1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;</w:t>
            </w:r>
            <w:proofErr w:type="gramEnd"/>
            <w:r>
              <w:rPr>
                <w:rFonts w:eastAsia="Times New Roman"/>
                <w:color w:val="000000"/>
                <w:sz w:val="16"/>
                <w:szCs w:val="16"/>
              </w:rPr>
              <w:t xml:space="preserve"> 0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.97 (.90-1.04)</w:t>
            </w:r>
          </w:p>
        </w:tc>
        <w:tc>
          <w:tcPr>
            <w:tcW w:w="456" w:type="pct"/>
            <w:tcBorders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  <w:tr w:rsidR="00EE6AD0" w:rsidRPr="00A1511E" w:rsidTr="00F56E3A">
        <w:trPr>
          <w:trHeight w:val="170"/>
        </w:trPr>
        <w:tc>
          <w:tcPr>
            <w:tcW w:w="757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41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Acute PCI</w:t>
            </w:r>
          </w:p>
        </w:tc>
        <w:tc>
          <w:tcPr>
            <w:tcW w:w="380" w:type="pct"/>
            <w:tcBorders>
              <w:bottom w:val="single" w:sz="4" w:space="0" w:color="auto"/>
            </w:tcBorders>
            <w:shd w:val="clear" w:color="auto" w:fill="auto"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rFonts w:eastAsia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66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0.65 (0.41-1.05</w:t>
            </w:r>
            <w:proofErr w:type="gramStart"/>
            <w:r w:rsidRPr="00A1511E">
              <w:rPr>
                <w:rFonts w:eastAsia="Times New Roman"/>
                <w:color w:val="000000"/>
                <w:sz w:val="16"/>
                <w:szCs w:val="16"/>
              </w:rPr>
              <w:t>)</w:t>
            </w:r>
            <w:r>
              <w:rPr>
                <w:rFonts w:eastAsia="Times New Roman"/>
                <w:color w:val="000000"/>
                <w:sz w:val="16"/>
                <w:szCs w:val="16"/>
              </w:rPr>
              <w:t xml:space="preserve"> ;</w:t>
            </w:r>
            <w:proofErr w:type="gramEnd"/>
            <w:r>
              <w:rPr>
                <w:rFonts w:eastAsia="Times New Roman"/>
                <w:color w:val="000000"/>
                <w:sz w:val="16"/>
                <w:szCs w:val="16"/>
              </w:rPr>
              <w:t xml:space="preserve"> </w:t>
            </w:r>
            <w:r w:rsidRPr="00A1511E">
              <w:rPr>
                <w:rFonts w:eastAsia="Times New Roman"/>
                <w:color w:val="000000"/>
                <w:sz w:val="16"/>
                <w:szCs w:val="16"/>
              </w:rPr>
              <w:t>1.01 (0.72-1.69)</w:t>
            </w:r>
          </w:p>
        </w:tc>
        <w:tc>
          <w:tcPr>
            <w:tcW w:w="456" w:type="pct"/>
            <w:tcBorders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E6AD0" w:rsidRPr="00A1511E" w:rsidRDefault="00EE6AD0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1511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</w:tr>
    </w:tbl>
    <w:p w:rsidR="00EE6AD0" w:rsidRDefault="00EE6AD0" w:rsidP="00EE6AD0">
      <w:pPr>
        <w:rPr>
          <w:b/>
          <w:bCs/>
        </w:rPr>
      </w:pPr>
      <w:r>
        <w:rPr>
          <w:sz w:val="16"/>
          <w:szCs w:val="16"/>
        </w:rPr>
        <w:t>D = demographic factors; C = comorbidities; P = psychological factors; S = medical condition severity; O = other factors; E = exercise program factors</w:t>
      </w:r>
      <w:r>
        <w:rPr>
          <w:b/>
          <w:bCs/>
        </w:rPr>
        <w:br w:type="page"/>
      </w:r>
    </w:p>
    <w:p w:rsidR="00D43E61" w:rsidRDefault="000E6390"/>
    <w:sectPr w:rsidR="00D43E61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AD0"/>
    <w:rsid w:val="000E6390"/>
    <w:rsid w:val="001F5770"/>
    <w:rsid w:val="00381E34"/>
    <w:rsid w:val="00697478"/>
    <w:rsid w:val="006F3624"/>
    <w:rsid w:val="00724019"/>
    <w:rsid w:val="00872DFA"/>
    <w:rsid w:val="009110EB"/>
    <w:rsid w:val="00EE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9B5ED3"/>
  <w14:defaultImageDpi w14:val="32767"/>
  <w15:chartTrackingRefBased/>
  <w15:docId w15:val="{62E1E8E0-0CA4-1B44-9C49-EC44D595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6AD0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2</cp:revision>
  <dcterms:created xsi:type="dcterms:W3CDTF">2020-07-13T20:18:00Z</dcterms:created>
  <dcterms:modified xsi:type="dcterms:W3CDTF">2020-07-13T20:24:00Z</dcterms:modified>
</cp:coreProperties>
</file>