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PlainTable2"/>
        <w:tblpPr w:leftFromText="180" w:rightFromText="180" w:vertAnchor="page" w:horzAnchor="margin" w:tblpY="3124"/>
        <w:tblW w:w="11341" w:type="dxa"/>
        <w:tblLook w:val="04A0" w:firstRow="1" w:lastRow="0" w:firstColumn="1" w:lastColumn="0" w:noHBand="0" w:noVBand="1"/>
      </w:tblPr>
      <w:tblGrid>
        <w:gridCol w:w="1395"/>
        <w:gridCol w:w="1606"/>
        <w:gridCol w:w="1668"/>
        <w:gridCol w:w="1668"/>
        <w:gridCol w:w="1668"/>
        <w:gridCol w:w="1668"/>
        <w:gridCol w:w="1668"/>
      </w:tblGrid>
      <w:tr w:rsidR="000C1170" w:rsidRPr="000C1170" w:rsidTr="000C11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:rsidR="000C1170" w:rsidRPr="000C1170" w:rsidRDefault="000C1170" w:rsidP="000C1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hideMark/>
          </w:tcPr>
          <w:p w:rsidR="000C1170" w:rsidRPr="000C1170" w:rsidRDefault="000C1170" w:rsidP="000C11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Lineage Ia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hideMark/>
          </w:tcPr>
          <w:p w:rsidR="000C1170" w:rsidRPr="000C1170" w:rsidRDefault="000C1170" w:rsidP="000C11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Lineage Ib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hideMark/>
          </w:tcPr>
          <w:p w:rsidR="000C1170" w:rsidRPr="000C1170" w:rsidRDefault="000C1170" w:rsidP="000C11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Lineage Ic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hideMark/>
          </w:tcPr>
          <w:p w:rsidR="000C1170" w:rsidRPr="000C1170" w:rsidRDefault="000C1170" w:rsidP="000C11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Lineage Id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hideMark/>
          </w:tcPr>
          <w:p w:rsidR="000C1170" w:rsidRPr="000C1170" w:rsidRDefault="000C1170" w:rsidP="000C11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Lineage Ie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hideMark/>
          </w:tcPr>
          <w:p w:rsidR="000C1170" w:rsidRPr="000C1170" w:rsidRDefault="000C1170" w:rsidP="000C11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Lineage II</w:t>
            </w:r>
          </w:p>
        </w:tc>
      </w:tr>
      <w:tr w:rsidR="000C1170" w:rsidRPr="000C1170" w:rsidTr="000C11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auto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Lineage Ia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95.5%</w:t>
            </w:r>
            <w:r w:rsidRPr="000C11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</w:t>
            </w: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93.4%</w:t>
            </w:r>
            <w:r w:rsidRPr="000C11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–95.8%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93.3%</w:t>
            </w:r>
            <w:r w:rsidRPr="000C11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–96.3%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93.3%</w:t>
            </w:r>
            <w:r w:rsidRPr="000C11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–95.2%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92.5%</w:t>
            </w:r>
            <w:r w:rsidRPr="000C11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–95.6%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88.8%</w:t>
            </w:r>
            <w:r w:rsidRPr="000C11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–90.8%</w:t>
            </w:r>
          </w:p>
        </w:tc>
      </w:tr>
      <w:tr w:rsidR="000C1170" w:rsidRPr="000C1170" w:rsidTr="000C1170">
        <w:trPr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Lineage Ib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C1170" w:rsidRPr="000C1170" w:rsidRDefault="000C1170" w:rsidP="000C11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98.2%</w:t>
            </w:r>
            <w:r w:rsidRPr="000C11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–99.2%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94.9%</w:t>
            </w:r>
            <w:r w:rsidRPr="000C11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–96.1%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94.7%</w:t>
            </w:r>
            <w:r w:rsidRPr="000C11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–95.1%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93.1%</w:t>
            </w:r>
            <w:r w:rsidRPr="000C11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–95.3%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88.6%</w:t>
            </w:r>
            <w:r w:rsidRPr="000C11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–89.7%</w:t>
            </w:r>
          </w:p>
        </w:tc>
      </w:tr>
      <w:tr w:rsidR="000C1170" w:rsidRPr="000C1170" w:rsidTr="000C11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Lineage Ic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C1170" w:rsidRPr="000C1170" w:rsidRDefault="000C1170" w:rsidP="000C11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C1170" w:rsidRPr="000C1170" w:rsidRDefault="000C1170" w:rsidP="000C11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96.2%</w:t>
            </w:r>
            <w:r w:rsidRPr="000C11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–100%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94.2%</w:t>
            </w:r>
            <w:r w:rsidRPr="000C11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–95.6%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92.7%</w:t>
            </w:r>
            <w:r w:rsidRPr="000C11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–95.8%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88.8%</w:t>
            </w:r>
            <w:r w:rsidRPr="000C11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–90.6%</w:t>
            </w:r>
          </w:p>
        </w:tc>
      </w:tr>
      <w:tr w:rsidR="000C1170" w:rsidRPr="000C1170" w:rsidTr="000C1170">
        <w:trPr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Lineage Id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C1170" w:rsidRPr="000C1170" w:rsidRDefault="000C1170" w:rsidP="000C11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C1170" w:rsidRPr="000C1170" w:rsidRDefault="000C1170" w:rsidP="000C11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C1170" w:rsidRPr="000C1170" w:rsidRDefault="000C1170" w:rsidP="000C11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97.9%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93.1%</w:t>
            </w:r>
            <w:r w:rsidRPr="000C11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–94.7%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88.8%</w:t>
            </w:r>
            <w:r w:rsidRPr="000C11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–89.4%</w:t>
            </w:r>
          </w:p>
        </w:tc>
      </w:tr>
      <w:tr w:rsidR="000C1170" w:rsidRPr="000C1170" w:rsidTr="000C11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Lineage Ie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C1170" w:rsidRPr="000C1170" w:rsidRDefault="000C1170" w:rsidP="000C11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C1170" w:rsidRPr="000C1170" w:rsidRDefault="000C1170" w:rsidP="000C11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C1170" w:rsidRPr="000C1170" w:rsidRDefault="000C1170" w:rsidP="000C11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C1170" w:rsidRPr="000C1170" w:rsidRDefault="000C1170" w:rsidP="000C11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97.5%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:rsidR="000C1170" w:rsidRPr="000C1170" w:rsidRDefault="000C1170" w:rsidP="000C11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88.2%</w:t>
            </w:r>
            <w:r w:rsidRPr="000C11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–90.1%</w:t>
            </w:r>
          </w:p>
        </w:tc>
      </w:tr>
      <w:tr w:rsidR="000C1170" w:rsidRPr="000C1170" w:rsidTr="000C1170">
        <w:trPr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12" w:space="0" w:color="auto"/>
            </w:tcBorders>
            <w:hideMark/>
          </w:tcPr>
          <w:p w:rsidR="000C1170" w:rsidRPr="000C1170" w:rsidRDefault="000C1170" w:rsidP="000C11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Lineage II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:rsidR="000C1170" w:rsidRPr="000C1170" w:rsidRDefault="000C1170" w:rsidP="000C11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:rsidR="000C1170" w:rsidRPr="000C1170" w:rsidRDefault="000C1170" w:rsidP="000C11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:rsidR="000C1170" w:rsidRPr="000C1170" w:rsidRDefault="000C1170" w:rsidP="000C11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:rsidR="000C1170" w:rsidRPr="000C1170" w:rsidRDefault="000C1170" w:rsidP="000C11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:rsidR="000C1170" w:rsidRPr="000C1170" w:rsidRDefault="000C1170" w:rsidP="000C11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hideMark/>
          </w:tcPr>
          <w:p w:rsidR="000C1170" w:rsidRPr="000C1170" w:rsidRDefault="000C1170" w:rsidP="000C11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1170">
              <w:rPr>
                <w:rFonts w:ascii="Times New Roman" w:hAnsi="Times New Roman" w:cs="Times New Roman"/>
                <w:sz w:val="24"/>
                <w:szCs w:val="24"/>
              </w:rPr>
              <w:t>97.0%</w:t>
            </w:r>
            <w:r w:rsidRPr="000C11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–100%</w:t>
            </w:r>
          </w:p>
        </w:tc>
      </w:tr>
    </w:tbl>
    <w:p w:rsidR="000C1170" w:rsidRDefault="000C1170" w:rsidP="000C1170">
      <w:pPr>
        <w:pStyle w:val="Style3"/>
        <w:tabs>
          <w:tab w:val="left" w:pos="11070"/>
        </w:tabs>
        <w:spacing w:line="480" w:lineRule="auto"/>
        <w:ind w:left="799" w:hangingChars="333" w:hanging="799"/>
        <w:jc w:val="both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t>Additional file 5</w:t>
      </w:r>
      <w:r w:rsidRPr="00DD502A">
        <w:rPr>
          <w:rFonts w:ascii="Times New Roman" w:hAnsi="Times New Roman" w:cs="Times New Roman"/>
          <w:bCs/>
          <w:lang w:val="en-US"/>
        </w:rPr>
        <w:t xml:space="preserve">. </w:t>
      </w:r>
      <w:r w:rsidRPr="00DD502A">
        <w:rPr>
          <w:rFonts w:ascii="Times New Roman" w:hAnsi="Times New Roman" w:cs="Times New Roman"/>
          <w:lang w:val="ms-MY"/>
        </w:rPr>
        <w:t>C</w:t>
      </w:r>
      <w:r w:rsidRPr="00DD502A">
        <w:rPr>
          <w:rFonts w:ascii="Times New Roman" w:hAnsi="Times New Roman" w:cs="Times New Roman"/>
          <w:bCs/>
          <w:lang w:val="en-US"/>
        </w:rPr>
        <w:t xml:space="preserve">omparison of nucleotide identities </w:t>
      </w:r>
      <w:r>
        <w:rPr>
          <w:rFonts w:ascii="Times New Roman" w:hAnsi="Times New Roman" w:cs="Times New Roman"/>
          <w:bCs/>
          <w:lang w:val="en-US"/>
        </w:rPr>
        <w:t xml:space="preserve">of </w:t>
      </w:r>
      <w:r w:rsidR="00A84EA7">
        <w:rPr>
          <w:rFonts w:ascii="Times New Roman" w:hAnsi="Times New Roman" w:cs="Times New Roman"/>
          <w:bCs/>
          <w:lang w:val="en-US"/>
        </w:rPr>
        <w:t>57</w:t>
      </w:r>
      <w:bookmarkStart w:id="0" w:name="_GoBack"/>
      <w:bookmarkEnd w:id="0"/>
      <w:r>
        <w:rPr>
          <w:rFonts w:ascii="Times New Roman" w:hAnsi="Times New Roman" w:cs="Times New Roman"/>
          <w:bCs/>
          <w:lang w:val="en-US"/>
        </w:rPr>
        <w:t xml:space="preserve"> partial nucleotide sequences of the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>
        <w:rPr>
          <w:rFonts w:ascii="Times New Roman" w:hAnsi="Times New Roman" w:cs="Times New Roman"/>
          <w:bCs/>
          <w:lang w:val="en-US"/>
        </w:rPr>
        <w:t xml:space="preserve">outer capsid protein </w:t>
      </w:r>
    </w:p>
    <w:p w:rsidR="000C1170" w:rsidRPr="00FF74BB" w:rsidRDefault="000C1170" w:rsidP="000C1170">
      <w:pPr>
        <w:pStyle w:val="Style3"/>
        <w:tabs>
          <w:tab w:val="left" w:pos="11070"/>
        </w:tabs>
        <w:spacing w:line="480" w:lineRule="auto"/>
        <w:ind w:left="799" w:hangingChars="333" w:hanging="799"/>
        <w:jc w:val="both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t xml:space="preserve">VP4 gene among the five lineages of rotavirus P[9]. </w:t>
      </w:r>
    </w:p>
    <w:p w:rsidR="006E5AC8" w:rsidRDefault="006E5AC8"/>
    <w:sectPr w:rsidR="006E5AC8" w:rsidSect="001619A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9A3"/>
    <w:rsid w:val="000C1170"/>
    <w:rsid w:val="0010098E"/>
    <w:rsid w:val="001619A3"/>
    <w:rsid w:val="002B53A7"/>
    <w:rsid w:val="006E5AC8"/>
    <w:rsid w:val="00A84EA7"/>
    <w:rsid w:val="00C80B48"/>
    <w:rsid w:val="00CD3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8148A"/>
  <w15:docId w15:val="{1C400C77-F1E1-47AB-B850-C471C065A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19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619A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80B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0B48"/>
    <w:rPr>
      <w:rFonts w:ascii="Tahoma" w:hAnsi="Tahoma" w:cs="Tahoma"/>
      <w:sz w:val="16"/>
      <w:szCs w:val="16"/>
    </w:rPr>
  </w:style>
  <w:style w:type="table" w:styleId="PlainTable2">
    <w:name w:val="Plain Table 2"/>
    <w:basedOn w:val="TableNormal"/>
    <w:uiPriority w:val="42"/>
    <w:rsid w:val="000C117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Style3">
    <w:name w:val="_Style 3"/>
    <w:basedOn w:val="Normal"/>
    <w:uiPriority w:val="34"/>
    <w:qFormat/>
    <w:rsid w:val="000C1170"/>
    <w:pPr>
      <w:ind w:left="720"/>
      <w:contextualSpacing/>
    </w:pPr>
    <w:rPr>
      <w:rFonts w:eastAsia="Calibri"/>
      <w:sz w:val="24"/>
      <w:szCs w:val="24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50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Kamruddin</cp:lastModifiedBy>
  <cp:revision>4</cp:revision>
  <dcterms:created xsi:type="dcterms:W3CDTF">2020-10-12T06:04:00Z</dcterms:created>
  <dcterms:modified xsi:type="dcterms:W3CDTF">2020-10-13T10:25:00Z</dcterms:modified>
</cp:coreProperties>
</file>