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rPr/>
      </w:pPr>
      <w:bookmarkStart w:colFirst="0" w:colLast="0" w:name="_heading=h.d5no2db1h1w0" w:id="0"/>
      <w:bookmarkEnd w:id="0"/>
      <w:r w:rsidDel="00000000" w:rsidR="00000000" w:rsidRPr="00000000">
        <w:rPr>
          <w:rtl w:val="0"/>
        </w:rPr>
        <w:t xml:space="preserve">Using the OSCE to assess medicine students' communication and clinical reasoning during five years of restricted clinical practice.</w:t>
      </w:r>
    </w:p>
    <w:p w:rsidR="00000000" w:rsidDel="00000000" w:rsidP="00000000" w:rsidRDefault="00000000" w:rsidRPr="00000000" w14:paraId="00000002">
      <w:pPr>
        <w:spacing w:after="120" w:before="240" w:lineRule="auto"/>
        <w:jc w:val="center"/>
        <w:rPr>
          <w:b w:val="1"/>
          <w:i w:val="1"/>
          <w:sz w:val="32"/>
          <w:szCs w:val="32"/>
        </w:rPr>
      </w:pPr>
      <w:r w:rsidDel="00000000" w:rsidR="00000000" w:rsidRPr="00000000">
        <w:rPr>
          <w:b w:val="1"/>
          <w:i w:val="1"/>
          <w:sz w:val="32"/>
          <w:szCs w:val="32"/>
          <w:rtl w:val="0"/>
        </w:rPr>
        <w:t xml:space="preserve">Supplementary Material</w:t>
      </w:r>
    </w:p>
    <w:p w:rsidR="00000000" w:rsidDel="00000000" w:rsidP="00000000" w:rsidRDefault="00000000" w:rsidRPr="00000000" w14:paraId="00000003">
      <w:pPr>
        <w:pStyle w:val="Heading1"/>
        <w:numPr>
          <w:ilvl w:val="0"/>
          <w:numId w:val="1"/>
        </w:numPr>
        <w:ind w:left="567" w:hanging="567"/>
        <w:rPr/>
      </w:pPr>
      <w:r w:rsidDel="00000000" w:rsidR="00000000" w:rsidRPr="00000000">
        <w:rPr>
          <w:rtl w:val="0"/>
        </w:rPr>
        <w:t xml:space="preserve">Supplementary Tables</w:t>
      </w:r>
    </w:p>
    <w:p w:rsidR="00000000" w:rsidDel="00000000" w:rsidP="00000000" w:rsidRDefault="00000000" w:rsidRPr="00000000" w14:paraId="00000004">
      <w:pPr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0"/>
        <w:spacing w:after="0" w:before="0" w:line="276" w:lineRule="auto"/>
        <w:rPr/>
      </w:pPr>
      <w:r w:rsidDel="00000000" w:rsidR="00000000" w:rsidRPr="00000000">
        <w:rPr>
          <w:b w:val="1"/>
          <w:rtl w:val="0"/>
        </w:rPr>
        <w:t xml:space="preserve">Table A. Sociodemographic characteristics of the sample of fourth-year medical students.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0"/>
        <w:spacing w:after="0" w:before="0" w:line="276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601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500"/>
        <w:gridCol w:w="1515"/>
        <w:gridCol w:w="1500"/>
        <w:gridCol w:w="1500"/>
        <w:tblGridChange w:id="0">
          <w:tblGrid>
            <w:gridCol w:w="1500"/>
            <w:gridCol w:w="1515"/>
            <w:gridCol w:w="1500"/>
            <w:gridCol w:w="1500"/>
          </w:tblGrid>
        </w:tblGridChange>
      </w:tblGrid>
      <w:tr>
        <w:trPr>
          <w:cantSplit w:val="0"/>
          <w:trHeight w:val="330" w:hRule="atLeast"/>
          <w:tblHeader w:val="0"/>
        </w:trPr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year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8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9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women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A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men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B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2018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C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D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25 (50.00%)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E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25 (50.00%)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F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2020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0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26 (39.39%)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40 (60,61%)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2021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33 (53.23%)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29 (46.77%)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2022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37 (58.73%)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26 (41.27%)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2023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23 (39.66%)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35 (60.34%)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Total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144 (48.16%)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2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155 (51.84%)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3">
      <w:pPr>
        <w:widowControl w:val="0"/>
        <w:spacing w:after="160" w:before="0" w:line="259" w:lineRule="auto"/>
        <w:jc w:val="both"/>
        <w:rPr>
          <w:color w:val="c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widowControl w:val="0"/>
        <w:spacing w:after="0" w:before="0" w:line="276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Table B. Descriptives of mean score in CAT mean and CR global score per total sample of fourth-year medical students.</w:t>
      </w:r>
    </w:p>
    <w:p w:rsidR="00000000" w:rsidDel="00000000" w:rsidP="00000000" w:rsidRDefault="00000000" w:rsidRPr="00000000" w14:paraId="00000025">
      <w:pPr>
        <w:widowControl w:val="0"/>
        <w:spacing w:after="0" w:before="0" w:line="276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747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430"/>
        <w:gridCol w:w="840"/>
        <w:gridCol w:w="840"/>
        <w:gridCol w:w="840"/>
        <w:gridCol w:w="840"/>
        <w:gridCol w:w="840"/>
        <w:gridCol w:w="840"/>
        <w:tblGridChange w:id="0">
          <w:tblGrid>
            <w:gridCol w:w="2430"/>
            <w:gridCol w:w="840"/>
            <w:gridCol w:w="840"/>
            <w:gridCol w:w="840"/>
            <w:gridCol w:w="840"/>
            <w:gridCol w:w="840"/>
            <w:gridCol w:w="840"/>
          </w:tblGrid>
        </w:tblGridChange>
      </w:tblGrid>
      <w:tr>
        <w:trPr>
          <w:cantSplit w:val="0"/>
          <w:trHeight w:val="330" w:hRule="atLeast"/>
          <w:tblHeader w:val="0"/>
        </w:trPr>
        <w:tc>
          <w:tcPr>
            <w:tcBorders>
              <w:top w:color="000000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widowControl w:val="0"/>
              <w:spacing w:after="0" w:before="0"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CAT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widowControl w:val="0"/>
              <w:spacing w:after="0" w:before="0"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RC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E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Total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Men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0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Women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Total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Men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Women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Median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4.16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4.16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4.16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02.07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2.27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Mean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4.12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4.13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4.11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2.28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Std. Deviation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0.37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IQR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E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0.60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Skewness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-1.93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2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-0.47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3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-2.70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4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6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7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Std. Error of Skewness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8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A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B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C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0.20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E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Kurtosis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F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12.12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0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16.73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2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-0.76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3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-0.59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4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-0.77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5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Std. Error of Kurtosis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6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7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8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9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A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B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0.41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C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Shapiro-Wilk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D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E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F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0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1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2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0.98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3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P-value of Shapiro-Wilk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4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&lt; 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5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6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&lt; 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7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&lt; 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8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&lt; 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9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0.01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A">
      <w:pPr>
        <w:widowControl w:val="0"/>
        <w:spacing w:after="0" w:before="0" w:line="276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widowControl w:val="0"/>
        <w:spacing w:after="0" w:before="0" w:line="276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widowControl w:val="0"/>
        <w:spacing w:after="0" w:before="0" w:line="276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Table C. Descriptives of mean score in CAT and CR global score per sex and cohort</w:t>
      </w:r>
    </w:p>
    <w:p w:rsidR="00000000" w:rsidDel="00000000" w:rsidP="00000000" w:rsidRDefault="00000000" w:rsidRPr="00000000" w14:paraId="0000007D">
      <w:pPr>
        <w:widowControl w:val="0"/>
        <w:spacing w:after="0" w:before="0" w:line="276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025.511811023624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289.3588301462319"/>
        <w:gridCol w:w="1289.3588301462319"/>
        <w:gridCol w:w="1289.3588301462319"/>
        <w:gridCol w:w="1289.3588301462319"/>
        <w:gridCol w:w="1289.3588301462319"/>
        <w:gridCol w:w="1289.3588301462319"/>
        <w:gridCol w:w="1289.3588301462319"/>
        <w:tblGridChange w:id="0">
          <w:tblGrid>
            <w:gridCol w:w="1289.3588301462319"/>
            <w:gridCol w:w="1289.3588301462319"/>
            <w:gridCol w:w="1289.3588301462319"/>
            <w:gridCol w:w="1289.3588301462319"/>
            <w:gridCol w:w="1289.3588301462319"/>
            <w:gridCol w:w="1289.3588301462319"/>
            <w:gridCol w:w="1289.3588301462319"/>
          </w:tblGrid>
        </w:tblGridChange>
      </w:tblGrid>
      <w:tr>
        <w:trPr>
          <w:cantSplit w:val="0"/>
          <w:trHeight w:val="330" w:hRule="atLeast"/>
          <w:tblHeader w:val="0"/>
        </w:trPr>
        <w:tc>
          <w:tcPr>
            <w:tcBorders>
              <w:top w:color="000000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widowControl w:val="0"/>
              <w:spacing w:after="0" w:before="0" w:line="276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F">
            <w:pPr>
              <w:widowControl w:val="0"/>
              <w:spacing w:after="0" w:before="0" w:line="276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CAT mean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2">
            <w:pPr>
              <w:widowControl w:val="0"/>
              <w:spacing w:after="0" w:before="0" w:line="276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CR score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widowControl w:val="0"/>
              <w:spacing w:after="0" w:before="0" w:line="276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6">
            <w:pPr>
              <w:widowControl w:val="0"/>
              <w:spacing w:after="0" w:before="0" w:line="276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total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7">
            <w:pPr>
              <w:widowControl w:val="0"/>
              <w:spacing w:after="0" w:before="0" w:line="276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women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8">
            <w:pPr>
              <w:widowControl w:val="0"/>
              <w:spacing w:after="0" w:before="0" w:line="276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men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9">
            <w:pPr>
              <w:widowControl w:val="0"/>
              <w:spacing w:after="0" w:before="0" w:line="276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total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A">
            <w:pPr>
              <w:widowControl w:val="0"/>
              <w:spacing w:after="0" w:before="0" w:line="276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women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B">
            <w:pPr>
              <w:widowControl w:val="0"/>
              <w:spacing w:after="0" w:before="0" w:line="276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men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C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2018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D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3.96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E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3.96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F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3.96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0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1.99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1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2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1.98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3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2020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4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4.07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5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4.08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6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4.06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7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8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9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2.11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A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2021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B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4.32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C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4.29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D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4.36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E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F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0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2.10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1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2022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2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3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4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4.12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5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6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7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2.69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8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2023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9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4.20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A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4.24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B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4.17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C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D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E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2.23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F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Total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0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1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4.04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2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3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4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5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2.19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6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n=299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7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8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9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A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B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C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D">
      <w:pPr>
        <w:widowControl w:val="0"/>
        <w:spacing w:after="0" w:before="0" w:line="276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widowControl w:val="0"/>
        <w:spacing w:after="0" w:before="0" w:line="276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widowControl w:val="0"/>
        <w:spacing w:after="0" w:before="0" w:line="276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Table D. Dunn's Post Hoc Comparisons CAT mean and CR global score</w:t>
      </w:r>
    </w:p>
    <w:p w:rsidR="00000000" w:rsidDel="00000000" w:rsidP="00000000" w:rsidRDefault="00000000" w:rsidRPr="00000000" w14:paraId="000000C0">
      <w:pPr>
        <w:widowControl w:val="0"/>
        <w:spacing w:after="0" w:before="0" w:line="276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03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230"/>
        <w:gridCol w:w="510"/>
        <w:gridCol w:w="675"/>
        <w:gridCol w:w="675"/>
        <w:gridCol w:w="690"/>
        <w:gridCol w:w="675"/>
        <w:gridCol w:w="705"/>
        <w:gridCol w:w="600"/>
        <w:gridCol w:w="645"/>
        <w:gridCol w:w="720"/>
        <w:gridCol w:w="615"/>
        <w:gridCol w:w="630"/>
        <w:gridCol w:w="660"/>
        <w:tblGridChange w:id="0">
          <w:tblGrid>
            <w:gridCol w:w="1230"/>
            <w:gridCol w:w="510"/>
            <w:gridCol w:w="675"/>
            <w:gridCol w:w="675"/>
            <w:gridCol w:w="690"/>
            <w:gridCol w:w="675"/>
            <w:gridCol w:w="705"/>
            <w:gridCol w:w="600"/>
            <w:gridCol w:w="645"/>
            <w:gridCol w:w="720"/>
            <w:gridCol w:w="615"/>
            <w:gridCol w:w="630"/>
            <w:gridCol w:w="660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1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2">
            <w:pPr>
              <w:widowControl w:val="0"/>
              <w:spacing w:after="0" w:before="0"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CAT mean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8">
            <w:pPr>
              <w:widowControl w:val="0"/>
              <w:spacing w:after="0" w:before="0"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CR global score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E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Comparison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F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z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0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Wi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1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Wj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2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3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pbonf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4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pholm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5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z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6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Wi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7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Wj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8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9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pbonf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A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pholm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B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2018 - 2020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C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-1.16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D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110.67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E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129.49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F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0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1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2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-2.50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3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91.11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4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130.51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5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6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7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0.06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8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2018 - 2021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9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-5.37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A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110.67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B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198.94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C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&lt; 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D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&lt; 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E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&lt; 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F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-2.26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0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91.11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1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127.15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2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3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4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0.10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5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2018 - 2022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6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-1.85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7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110.67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8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140.88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9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A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B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C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-8.66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D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91.11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E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233.25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F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&lt; 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0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&lt; 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1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&lt; 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2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2018 - 2023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3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-3.25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4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110.67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5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164.85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6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7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8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0.008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9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-3.53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A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91.11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B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148.37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C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&lt; 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D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0.004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E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0.002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F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2020 - 2021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0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-4.54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1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129.49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2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198.94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3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&lt; 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4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&lt; 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5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&lt; 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6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7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130.51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8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127.15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9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A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B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0.82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C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2020 - 2022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D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-0.75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E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129.49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F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140.88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0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1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2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3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-6.70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4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130.51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5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233.25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6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&lt; 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7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&lt; 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8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&lt; 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9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2020 - 2023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A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-2.27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B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129.49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C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164.85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D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E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F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0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-1.18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1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130.51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2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148.37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3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4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5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0.50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6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2021 - 2022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7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3.75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8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198.94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9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140.88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A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&lt; 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B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0.002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C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D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-6.82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E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127.15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F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233.25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0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&lt; 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1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&lt; 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2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&lt; 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3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2021 - 2023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4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2.16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5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198.94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6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164.85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7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8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9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A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-1.38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B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127.15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C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148.37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D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E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F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0.50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0">
            <w:pPr>
              <w:widowControl w:val="0"/>
              <w:spacing w:after="0" w:before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2022 - 2023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1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-1.52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2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140.88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3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164.85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4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5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6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7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5.37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8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233.25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9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148.37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A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&lt; 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B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&lt; 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C">
            <w:pPr>
              <w:widowControl w:val="0"/>
              <w:spacing w:after="0" w:before="0"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&lt; .001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5D">
      <w:pPr>
        <w:widowControl w:val="0"/>
        <w:spacing w:after="0" w:before="0" w:line="276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E">
      <w:pPr>
        <w:widowControl w:val="0"/>
        <w:spacing w:after="0" w:before="0" w:line="276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F">
      <w:pPr>
        <w:widowControl w:val="0"/>
        <w:spacing w:after="0" w:before="0" w:line="276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0">
      <w:pPr>
        <w:widowControl w:val="0"/>
        <w:spacing w:after="0" w:before="0" w:line="276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1">
      <w:pPr>
        <w:widowControl w:val="0"/>
        <w:spacing w:after="0" w:before="0" w:line="276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2">
      <w:pPr>
        <w:widowControl w:val="0"/>
        <w:spacing w:after="0" w:before="0" w:line="276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3">
      <w:pPr>
        <w:widowControl w:val="0"/>
        <w:spacing w:after="0" w:before="0" w:line="276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4">
      <w:pPr>
        <w:widowControl w:val="0"/>
        <w:spacing w:after="0" w:before="0" w:line="276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5">
      <w:pPr>
        <w:widowControl w:val="0"/>
        <w:spacing w:after="0" w:before="0" w:line="276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6">
      <w:pPr>
        <w:widowControl w:val="0"/>
        <w:spacing w:after="0" w:before="0" w:line="276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7">
      <w:pPr>
        <w:widowControl w:val="0"/>
        <w:spacing w:after="0" w:before="0" w:line="276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Table E. Descriptive statistics per item of the CAT scale for all surveys taken from 2018 to 2023.</w:t>
      </w:r>
    </w:p>
    <w:p w:rsidR="00000000" w:rsidDel="00000000" w:rsidP="00000000" w:rsidRDefault="00000000" w:rsidRPr="00000000" w14:paraId="00000168">
      <w:pPr>
        <w:widowControl w:val="0"/>
        <w:spacing w:after="0" w:before="0" w:line="276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025.51181102362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311.847646951108"/>
        <w:gridCol w:w="550.9760117194653"/>
        <w:gridCol w:w="550.9760117194653"/>
        <w:gridCol w:w="550.9760117194653"/>
        <w:gridCol w:w="550.9760117194653"/>
        <w:gridCol w:w="550.9760117194653"/>
        <w:gridCol w:w="550.9760117194653"/>
        <w:gridCol w:w="550.9760117194653"/>
        <w:gridCol w:w="550.9760117194653"/>
        <w:gridCol w:w="550.9760117194653"/>
        <w:gridCol w:w="550.9760117194653"/>
        <w:gridCol w:w="550.9760117194653"/>
        <w:gridCol w:w="550.9760117194653"/>
        <w:gridCol w:w="550.9760117194653"/>
        <w:gridCol w:w="550.9760117194653"/>
        <w:tblGridChange w:id="0">
          <w:tblGrid>
            <w:gridCol w:w="1311.847646951108"/>
            <w:gridCol w:w="550.9760117194653"/>
            <w:gridCol w:w="550.9760117194653"/>
            <w:gridCol w:w="550.9760117194653"/>
            <w:gridCol w:w="550.9760117194653"/>
            <w:gridCol w:w="550.9760117194653"/>
            <w:gridCol w:w="550.9760117194653"/>
            <w:gridCol w:w="550.9760117194653"/>
            <w:gridCol w:w="550.9760117194653"/>
            <w:gridCol w:w="550.9760117194653"/>
            <w:gridCol w:w="550.9760117194653"/>
            <w:gridCol w:w="550.9760117194653"/>
            <w:gridCol w:w="550.9760117194653"/>
            <w:gridCol w:w="550.9760117194653"/>
            <w:gridCol w:w="550.9760117194653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9">
            <w:pPr>
              <w:widowControl w:val="0"/>
              <w:spacing w:after="0" w:before="0"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4"/>
            <w:tcBorders>
              <w:top w:color="000000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A">
            <w:pPr>
              <w:widowControl w:val="0"/>
              <w:spacing w:after="0" w:before="0" w:line="276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Descriptives of Communication Assessment Tool (CAT) items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8">
            <w:pPr>
              <w:widowControl w:val="0"/>
              <w:spacing w:after="0" w:before="0"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9">
            <w:pPr>
              <w:widowControl w:val="0"/>
              <w:spacing w:after="0" w:before="0" w:line="276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A">
            <w:pPr>
              <w:widowControl w:val="0"/>
              <w:spacing w:after="0" w:before="0" w:line="276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B">
            <w:pPr>
              <w:widowControl w:val="0"/>
              <w:spacing w:after="0" w:before="0" w:line="276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C">
            <w:pPr>
              <w:widowControl w:val="0"/>
              <w:spacing w:after="0" w:before="0" w:line="276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D">
            <w:pPr>
              <w:widowControl w:val="0"/>
              <w:spacing w:after="0" w:before="0" w:line="276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E">
            <w:pPr>
              <w:widowControl w:val="0"/>
              <w:spacing w:after="0" w:before="0" w:line="276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F">
            <w:pPr>
              <w:widowControl w:val="0"/>
              <w:spacing w:after="0" w:before="0" w:line="276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0">
            <w:pPr>
              <w:widowControl w:val="0"/>
              <w:spacing w:after="0" w:before="0" w:line="276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1">
            <w:pPr>
              <w:widowControl w:val="0"/>
              <w:spacing w:after="0" w:before="0" w:line="276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2">
            <w:pPr>
              <w:widowControl w:val="0"/>
              <w:spacing w:after="0" w:before="0" w:line="276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3">
            <w:pPr>
              <w:widowControl w:val="0"/>
              <w:spacing w:after="0" w:before="0" w:line="276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4">
            <w:pPr>
              <w:widowControl w:val="0"/>
              <w:spacing w:after="0" w:before="0" w:line="276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5">
            <w:pPr>
              <w:widowControl w:val="0"/>
              <w:spacing w:after="0" w:before="0" w:line="276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6">
            <w:pPr>
              <w:widowControl w:val="0"/>
              <w:spacing w:after="0" w:before="0" w:line="276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7">
            <w:pPr>
              <w:widowControl w:val="0"/>
              <w:spacing w:after="0" w:before="0"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Median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8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4.00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9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4.00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A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4.00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B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4.00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C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4.00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D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4.00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E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4.00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F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4.00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0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4.00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1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4.00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2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4.00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3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4.00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4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4.00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5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4.00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6">
            <w:pPr>
              <w:widowControl w:val="0"/>
              <w:spacing w:after="0" w:before="0"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Mean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7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4.16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8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4.32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9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4.13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A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4.14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B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4.24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C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4.29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D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4.07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E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4.10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F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3.99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0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3.88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1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3.57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2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4.05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3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4.11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4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4.15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5">
            <w:pPr>
              <w:widowControl w:val="0"/>
              <w:spacing w:after="0" w:before="0"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Std. Deviation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6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7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8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9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A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B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C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D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E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1.02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F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1.14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0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1.42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1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1.02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2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3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0.91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4">
            <w:pPr>
              <w:widowControl w:val="0"/>
              <w:spacing w:after="0" w:before="0"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IQR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5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1.00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6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1.00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7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1.00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8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1.00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9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1.00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A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1.00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B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2.00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C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2.00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D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2.00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E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2.00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F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3.00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0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2.00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1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2.00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2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1.00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3">
            <w:pPr>
              <w:widowControl w:val="0"/>
              <w:spacing w:after="0" w:before="0"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Skewness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4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-0.94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5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-0.96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6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-0.83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7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-0.90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8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-0.96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9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-0.91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A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-0.99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B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-0.87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C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-0.83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D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-0.84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E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-0.59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F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-1.01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0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-0.87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1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-0.89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2">
            <w:pPr>
              <w:widowControl w:val="0"/>
              <w:spacing w:after="0" w:before="0"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Std. Error of Skewness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3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4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5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6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7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8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9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A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B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C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D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E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F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0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0.05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1">
            <w:pPr>
              <w:widowControl w:val="0"/>
              <w:spacing w:after="0" w:before="0"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Kurtosis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2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3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4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5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6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7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8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9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A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B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-0.05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C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-0.99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D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E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F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0.28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0">
            <w:pPr>
              <w:widowControl w:val="0"/>
              <w:spacing w:after="0" w:before="0"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Std. Error of Kurtosis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1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2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3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4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5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6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7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8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9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A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B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C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D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E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0.11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F">
            <w:pPr>
              <w:widowControl w:val="0"/>
              <w:spacing w:after="0" w:before="0"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Shapiro-Wilk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0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1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2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3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4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5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6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7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8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9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A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B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C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D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0.81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E">
            <w:pPr>
              <w:widowControl w:val="0"/>
              <w:spacing w:after="0" w:before="0"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P-value of Shapiro-Wilk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F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&lt; 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0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&lt; 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1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&lt; 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2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&lt; 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3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&lt; 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4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&lt; 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5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&lt; 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6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&lt; 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7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&lt; 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8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&lt; 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9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&lt; 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A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&lt; 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B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&lt; 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C">
            <w:pPr>
              <w:widowControl w:val="0"/>
              <w:spacing w:after="0" w:before="0" w:line="276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&lt; 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D">
            <w:pPr>
              <w:widowControl w:val="0"/>
              <w:spacing w:after="0" w:before="0"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n= 2041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E">
            <w:pPr>
              <w:widowControl w:val="0"/>
              <w:spacing w:after="0" w:before="0"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F">
            <w:pPr>
              <w:widowControl w:val="0"/>
              <w:spacing w:after="0" w:before="0"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0">
            <w:pPr>
              <w:widowControl w:val="0"/>
              <w:spacing w:after="0" w:before="0"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1">
            <w:pPr>
              <w:widowControl w:val="0"/>
              <w:spacing w:after="0" w:before="0"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2">
            <w:pPr>
              <w:widowControl w:val="0"/>
              <w:spacing w:after="0" w:before="0"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3">
            <w:pPr>
              <w:widowControl w:val="0"/>
              <w:spacing w:after="0" w:before="0"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4">
            <w:pPr>
              <w:widowControl w:val="0"/>
              <w:spacing w:after="0" w:before="0"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5">
            <w:pPr>
              <w:widowControl w:val="0"/>
              <w:spacing w:after="0" w:before="0"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6">
            <w:pPr>
              <w:widowControl w:val="0"/>
              <w:spacing w:after="0" w:before="0"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7">
            <w:pPr>
              <w:widowControl w:val="0"/>
              <w:spacing w:after="0" w:before="0"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8">
            <w:pPr>
              <w:widowControl w:val="0"/>
              <w:spacing w:after="0" w:before="0"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9">
            <w:pPr>
              <w:widowControl w:val="0"/>
              <w:spacing w:after="0" w:before="0"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A">
            <w:pPr>
              <w:widowControl w:val="0"/>
              <w:spacing w:after="0" w:before="0"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B">
            <w:pPr>
              <w:widowControl w:val="0"/>
              <w:spacing w:after="0" w:before="0"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2C">
      <w:pPr>
        <w:widowControl w:val="0"/>
        <w:spacing w:after="0" w:before="0" w:line="276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D">
      <w:pPr>
        <w:widowControl w:val="0"/>
        <w:spacing w:after="0" w:before="0" w:line="276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E">
      <w:pPr>
        <w:widowControl w:val="0"/>
        <w:spacing w:after="0" w:before="0" w:line="276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F">
      <w:pPr>
        <w:widowControl w:val="0"/>
        <w:spacing w:after="0" w:before="0" w:line="276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0">
      <w:pPr>
        <w:widowControl w:val="0"/>
        <w:spacing w:after="0" w:before="0" w:line="276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1">
      <w:pPr>
        <w:widowControl w:val="0"/>
        <w:spacing w:after="0" w:before="0" w:line="276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2">
      <w:pPr>
        <w:widowControl w:val="0"/>
        <w:spacing w:after="0" w:before="0" w:line="276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3">
      <w:pPr>
        <w:widowControl w:val="0"/>
        <w:spacing w:after="0" w:before="0" w:line="276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4">
      <w:pPr>
        <w:widowControl w:val="0"/>
        <w:spacing w:after="0" w:before="0" w:line="276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5">
      <w:pPr>
        <w:widowControl w:val="0"/>
        <w:spacing w:after="0" w:before="0" w:line="276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6">
      <w:pPr>
        <w:widowControl w:val="0"/>
        <w:spacing w:after="0" w:before="0" w:line="276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7">
      <w:pPr>
        <w:widowControl w:val="0"/>
        <w:spacing w:after="0" w:before="0" w:line="276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8">
      <w:pPr>
        <w:widowControl w:val="0"/>
        <w:spacing w:after="0" w:before="0" w:line="276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9">
      <w:pPr>
        <w:widowControl w:val="0"/>
        <w:spacing w:after="0" w:before="0" w:line="276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A">
      <w:pPr>
        <w:widowControl w:val="0"/>
        <w:spacing w:after="0" w:before="0" w:line="276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B">
      <w:pPr>
        <w:widowControl w:val="0"/>
        <w:spacing w:after="0" w:before="0" w:line="276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C">
      <w:pPr>
        <w:widowControl w:val="0"/>
        <w:spacing w:after="0" w:before="0" w:line="276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D">
      <w:pPr>
        <w:widowControl w:val="0"/>
        <w:spacing w:after="0" w:before="0" w:line="276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E">
      <w:pPr>
        <w:widowControl w:val="0"/>
        <w:spacing w:after="0" w:before="0" w:line="276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F">
      <w:pPr>
        <w:widowControl w:val="0"/>
        <w:spacing w:after="0" w:before="0" w:line="276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0">
      <w:pPr>
        <w:widowControl w:val="0"/>
        <w:spacing w:after="0" w:before="0" w:line="276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1">
      <w:pPr>
        <w:widowControl w:val="0"/>
        <w:spacing w:after="0" w:before="0" w:line="276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2">
      <w:pPr>
        <w:widowControl w:val="0"/>
        <w:spacing w:after="0" w:before="0" w:line="276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3">
      <w:pPr>
        <w:widowControl w:val="0"/>
        <w:spacing w:after="0" w:before="0" w:line="276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4">
      <w:pPr>
        <w:widowControl w:val="0"/>
        <w:spacing w:after="0" w:before="0" w:line="276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5">
      <w:pPr>
        <w:widowControl w:val="0"/>
        <w:spacing w:after="0" w:before="0" w:line="276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6">
      <w:pPr>
        <w:spacing w:after="0" w:before="0" w:line="48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Table F: Progression in CR between the third and fourth year in two cohorts (2022 and 2023)</w:t>
      </w:r>
    </w:p>
    <w:tbl>
      <w:tblPr>
        <w:tblStyle w:val="Table6"/>
        <w:tblW w:w="780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335"/>
        <w:gridCol w:w="1245"/>
        <w:gridCol w:w="1335"/>
        <w:gridCol w:w="1305"/>
        <w:gridCol w:w="1290"/>
        <w:gridCol w:w="1290"/>
        <w:tblGridChange w:id="0">
          <w:tblGrid>
            <w:gridCol w:w="1335"/>
            <w:gridCol w:w="1245"/>
            <w:gridCol w:w="1335"/>
            <w:gridCol w:w="1305"/>
            <w:gridCol w:w="1290"/>
            <w:gridCol w:w="1290"/>
          </w:tblGrid>
        </w:tblGridChange>
      </w:tblGrid>
      <w:tr>
        <w:trPr>
          <w:cantSplit w:val="0"/>
          <w:trHeight w:val="460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47">
            <w:pPr>
              <w:widowControl w:val="0"/>
              <w:spacing w:after="0" w:before="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Measure 3y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48">
            <w:pPr>
              <w:widowControl w:val="0"/>
              <w:spacing w:after="0" w:before="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49">
            <w:pPr>
              <w:widowControl w:val="0"/>
              <w:spacing w:after="0" w:before="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Measure 4y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4A">
            <w:pPr>
              <w:widowControl w:val="0"/>
              <w:spacing w:after="0" w:before="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W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4B">
            <w:pPr>
              <w:widowControl w:val="0"/>
              <w:spacing w:after="0" w:before="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z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4C">
            <w:pPr>
              <w:widowControl w:val="0"/>
              <w:spacing w:after="0" w:before="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4D">
            <w:pPr>
              <w:widowControl w:val="0"/>
              <w:spacing w:after="0" w:before="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Mean 2021</w:t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4E">
            <w:pPr>
              <w:widowControl w:val="0"/>
              <w:spacing w:after="0" w:before="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4F">
            <w:pPr>
              <w:widowControl w:val="0"/>
              <w:spacing w:after="0" w:before="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Mean 2022</w:t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50">
            <w:pPr>
              <w:widowControl w:val="0"/>
              <w:spacing w:after="0" w:before="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111.00</w:t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51">
            <w:pPr>
              <w:widowControl w:val="0"/>
              <w:spacing w:after="0" w:before="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-5.17</w:t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52">
            <w:pPr>
              <w:widowControl w:val="0"/>
              <w:spacing w:after="0" w:before="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&lt; .001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53">
            <w:pPr>
              <w:widowControl w:val="0"/>
              <w:spacing w:after="0" w:before="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Mean 2022</w:t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54">
            <w:pPr>
              <w:widowControl w:val="0"/>
              <w:spacing w:after="0" w:before="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55">
            <w:pPr>
              <w:widowControl w:val="0"/>
              <w:spacing w:after="0" w:before="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Mean 2023</w:t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56">
            <w:pPr>
              <w:widowControl w:val="0"/>
              <w:spacing w:after="0" w:before="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775.00</w:t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57">
            <w:pPr>
              <w:widowControl w:val="0"/>
              <w:spacing w:after="0" w:before="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4.46</w:t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58">
            <w:pPr>
              <w:widowControl w:val="0"/>
              <w:spacing w:after="0" w:before="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&lt; .001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59">
            <w:pPr>
              <w:widowControl w:val="0"/>
              <w:spacing w:after="0" w:before="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HT 2021</w:t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5A">
            <w:pPr>
              <w:widowControl w:val="0"/>
              <w:spacing w:after="0" w:before="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5B">
            <w:pPr>
              <w:widowControl w:val="0"/>
              <w:spacing w:after="0" w:before="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 2022</w:t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5C">
            <w:pPr>
              <w:widowControl w:val="0"/>
              <w:spacing w:after="0" w:before="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112.50</w:t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5D">
            <w:pPr>
              <w:widowControl w:val="0"/>
              <w:spacing w:after="0" w:before="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-4.35</w:t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5E">
            <w:pPr>
              <w:widowControl w:val="0"/>
              <w:spacing w:after="0" w:before="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&lt; .001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5F">
            <w:pPr>
              <w:widowControl w:val="0"/>
              <w:spacing w:after="0" w:before="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DD 2021</w:t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60">
            <w:pPr>
              <w:widowControl w:val="0"/>
              <w:spacing w:after="0" w:before="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61">
            <w:pPr>
              <w:widowControl w:val="0"/>
              <w:spacing w:after="0" w:before="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CR 2022</w:t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62">
            <w:pPr>
              <w:widowControl w:val="0"/>
              <w:spacing w:after="0" w:before="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211.00</w:t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63">
            <w:pPr>
              <w:widowControl w:val="0"/>
              <w:spacing w:after="0" w:before="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-3.16</w:t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64">
            <w:pPr>
              <w:widowControl w:val="0"/>
              <w:spacing w:after="0" w:before="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0.002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65">
            <w:pPr>
              <w:widowControl w:val="0"/>
              <w:spacing w:after="0" w:before="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TP 2021</w:t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66">
            <w:pPr>
              <w:widowControl w:val="0"/>
              <w:spacing w:after="0" w:before="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67">
            <w:pPr>
              <w:widowControl w:val="0"/>
              <w:spacing w:after="0" w:before="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PL 2022</w:t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68">
            <w:pPr>
              <w:widowControl w:val="0"/>
              <w:spacing w:after="0" w:before="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76.00</w:t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69">
            <w:pPr>
              <w:widowControl w:val="0"/>
              <w:spacing w:after="0" w:before="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-5.34</w:t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6A">
            <w:pPr>
              <w:widowControl w:val="0"/>
              <w:spacing w:after="0" w:before="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&lt; .001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6B">
            <w:pPr>
              <w:widowControl w:val="0"/>
              <w:spacing w:after="0" w:before="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HT 2022</w:t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6C">
            <w:pPr>
              <w:widowControl w:val="0"/>
              <w:spacing w:after="0" w:before="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6D">
            <w:pPr>
              <w:widowControl w:val="0"/>
              <w:spacing w:after="0" w:before="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 2023</w:t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6E">
            <w:pPr>
              <w:widowControl w:val="0"/>
              <w:spacing w:after="0" w:before="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531.00</w:t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6F">
            <w:pPr>
              <w:widowControl w:val="0"/>
              <w:spacing w:after="0" w:before="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4.48</w:t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70">
            <w:pPr>
              <w:widowControl w:val="0"/>
              <w:spacing w:after="0" w:before="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&lt; .001</w:t>
            </w:r>
          </w:p>
        </w:tc>
      </w:tr>
      <w:tr>
        <w:trPr>
          <w:cantSplit w:val="0"/>
          <w:trHeight w:val="475" w:hRule="atLeast"/>
          <w:tblHeader w:val="0"/>
        </w:trPr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71">
            <w:pPr>
              <w:widowControl w:val="0"/>
              <w:spacing w:after="0" w:before="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DD 2022</w:t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72">
            <w:pPr>
              <w:widowControl w:val="0"/>
              <w:spacing w:after="0" w:before="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73">
            <w:pPr>
              <w:widowControl w:val="0"/>
              <w:spacing w:after="0" w:before="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CR 2023</w:t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74">
            <w:pPr>
              <w:widowControl w:val="0"/>
              <w:spacing w:after="0" w:before="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630.00</w:t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75">
            <w:pPr>
              <w:widowControl w:val="0"/>
              <w:spacing w:after="0" w:before="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2.96</w:t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76">
            <w:pPr>
              <w:widowControl w:val="0"/>
              <w:spacing w:after="0" w:before="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0.003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bottom w:color="000000" w:space="0" w:sz="4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77">
            <w:pPr>
              <w:widowControl w:val="0"/>
              <w:spacing w:after="0" w:before="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TP 2022</w:t>
            </w:r>
          </w:p>
        </w:tc>
        <w:tc>
          <w:tcPr>
            <w:tcBorders>
              <w:bottom w:color="000000" w:space="0" w:sz="4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78">
            <w:pPr>
              <w:widowControl w:val="0"/>
              <w:spacing w:after="0" w:before="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bottom w:color="000000" w:space="0" w:sz="4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79">
            <w:pPr>
              <w:widowControl w:val="0"/>
              <w:spacing w:after="0" w:before="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PL 2023</w:t>
            </w:r>
          </w:p>
        </w:tc>
        <w:tc>
          <w:tcPr>
            <w:tcBorders>
              <w:bottom w:color="000000" w:space="0" w:sz="4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7A">
            <w:pPr>
              <w:widowControl w:val="0"/>
              <w:spacing w:after="0" w:before="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621.50</w:t>
            </w:r>
          </w:p>
        </w:tc>
        <w:tc>
          <w:tcPr>
            <w:tcBorders>
              <w:bottom w:color="000000" w:space="0" w:sz="4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7B">
            <w:pPr>
              <w:widowControl w:val="0"/>
              <w:spacing w:after="0" w:before="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4.53</w:t>
            </w:r>
          </w:p>
        </w:tc>
        <w:tc>
          <w:tcPr>
            <w:tcBorders>
              <w:bottom w:color="000000" w:space="0" w:sz="4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7C">
            <w:pPr>
              <w:widowControl w:val="0"/>
              <w:spacing w:after="0" w:before="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&lt; .001</w:t>
            </w:r>
          </w:p>
        </w:tc>
      </w:tr>
    </w:tbl>
    <w:p w:rsidR="00000000" w:rsidDel="00000000" w:rsidP="00000000" w:rsidRDefault="00000000" w:rsidRPr="00000000" w14:paraId="0000027D">
      <w:pPr>
        <w:spacing w:after="0" w:before="0" w:line="48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Note.  For all tests, the alternative hypothesis specifies that measure third year is different from measure fourth year. </w:t>
      </w:r>
    </w:p>
    <w:p w:rsidR="00000000" w:rsidDel="00000000" w:rsidP="00000000" w:rsidRDefault="00000000" w:rsidRPr="00000000" w14:paraId="0000027E">
      <w:pPr>
        <w:spacing w:after="0" w:before="0" w:line="48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 value &lt;0.05. Paired Samples Wilcoxon signed-rank test in CR </w:t>
      </w:r>
    </w:p>
    <w:p w:rsidR="00000000" w:rsidDel="00000000" w:rsidP="00000000" w:rsidRDefault="00000000" w:rsidRPr="00000000" w14:paraId="0000027F">
      <w:pPr>
        <w:spacing w:after="0" w:before="0" w:line="48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HT = History Taking, DD = Differential Diagnosis, TP = Treatment Plan.</w:t>
      </w:r>
    </w:p>
    <w:p w:rsidR="00000000" w:rsidDel="00000000" w:rsidP="00000000" w:rsidRDefault="00000000" w:rsidRPr="00000000" w14:paraId="00000280">
      <w:pPr>
        <w:widowControl w:val="0"/>
        <w:spacing w:after="0" w:before="0" w:line="276" w:lineRule="auto"/>
        <w:rPr>
          <w:rFonts w:ascii="Garamond" w:cs="Garamond" w:eastAsia="Garamond" w:hAnsi="Garamond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1">
      <w:pPr>
        <w:spacing w:before="240" w:lineRule="auto"/>
        <w:rPr/>
      </w:pPr>
      <w:r w:rsidDel="00000000" w:rsidR="00000000" w:rsidRPr="00000000">
        <w:rPr>
          <w:rtl w:val="0"/>
        </w:rPr>
      </w:r>
    </w:p>
    <w:sectPr>
      <w:headerReference r:id="rId7" w:type="first"/>
      <w:headerReference r:id="rId8" w:type="even"/>
      <w:footerReference r:id="rId9" w:type="default"/>
      <w:footerReference r:id="rId10" w:type="even"/>
      <w:pgSz w:h="15840" w:w="12240" w:orient="portrait"/>
      <w:pgMar w:bottom="1138" w:top="1138" w:left="1282" w:right="1181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aramond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284">
    <w:pPr>
      <w:rPr>
        <w:b w:val="1"/>
        <w:sz w:val="20"/>
        <w:szCs w:val="20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285">
    <w:pPr>
      <w:rPr>
        <w:color w:val="c00000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282">
    <w:pPr>
      <w:rPr/>
    </w:pPr>
    <w:r w:rsidDel="00000000" w:rsidR="00000000" w:rsidRPr="00000000">
      <w:rPr>
        <w:rtl w:val="0"/>
      </w:rPr>
      <w:tab/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283">
    <w:pPr>
      <w:rPr/>
    </w:pPr>
    <w:r w:rsidDel="00000000" w:rsidR="00000000" w:rsidRPr="00000000">
      <w:rPr>
        <w:rtl w:val="0"/>
      </w:rPr>
      <w:t xml:space="preserve">Supplementary Material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"/>
      <w:lvlJc w:val="left"/>
      <w:pPr>
        <w:ind w:left="567" w:hanging="567"/>
      </w:pPr>
      <w:rPr/>
    </w:lvl>
    <w:lvl w:ilvl="1">
      <w:start w:val="1"/>
      <w:numFmt w:val="decimal"/>
      <w:lvlText w:val="%1.%2"/>
      <w:lvlJc w:val="left"/>
      <w:pPr>
        <w:ind w:left="567" w:hanging="567"/>
      </w:pPr>
      <w:rPr/>
    </w:lvl>
    <w:lvl w:ilvl="2">
      <w:start w:val="1"/>
      <w:numFmt w:val="decimal"/>
      <w:lvlText w:val="%1.%2.%3"/>
      <w:lvlJc w:val="left"/>
      <w:pPr>
        <w:ind w:left="567" w:hanging="567"/>
      </w:pPr>
      <w:rPr/>
    </w:lvl>
    <w:lvl w:ilvl="3">
      <w:start w:val="1"/>
      <w:numFmt w:val="decimal"/>
      <w:lvlText w:val="%1.%2.%3.%4"/>
      <w:lvlJc w:val="left"/>
      <w:pPr>
        <w:ind w:left="567" w:hanging="567"/>
      </w:pPr>
      <w:rPr/>
    </w:lvl>
    <w:lvl w:ilvl="4">
      <w:start w:val="1"/>
      <w:numFmt w:val="decimal"/>
      <w:lvlText w:val="%1.%2.%3.%4.%5"/>
      <w:lvlJc w:val="left"/>
      <w:pPr>
        <w:ind w:left="567" w:hanging="567"/>
      </w:pPr>
      <w:rPr/>
    </w:lvl>
    <w:lvl w:ilvl="5">
      <w:start w:val="1"/>
      <w:numFmt w:val="lowerRoman"/>
      <w:lvlText w:val="%6."/>
      <w:lvlJc w:val="right"/>
      <w:pPr>
        <w:ind w:left="567" w:hanging="567"/>
      </w:pPr>
      <w:rPr/>
    </w:lvl>
    <w:lvl w:ilvl="6">
      <w:start w:val="1"/>
      <w:numFmt w:val="decimal"/>
      <w:lvlText w:val="%7."/>
      <w:lvlJc w:val="left"/>
      <w:pPr>
        <w:ind w:left="567" w:hanging="567"/>
      </w:pPr>
      <w:rPr/>
    </w:lvl>
    <w:lvl w:ilvl="7">
      <w:start w:val="1"/>
      <w:numFmt w:val="lowerLetter"/>
      <w:lvlText w:val="%8."/>
      <w:lvlJc w:val="left"/>
      <w:pPr>
        <w:ind w:left="567" w:hanging="567"/>
      </w:pPr>
      <w:rPr/>
    </w:lvl>
    <w:lvl w:ilvl="8">
      <w:start w:val="1"/>
      <w:numFmt w:val="lowerRoman"/>
      <w:lvlText w:val="%9."/>
      <w:lvlJc w:val="right"/>
      <w:pPr>
        <w:ind w:left="567" w:hanging="567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evenAndOddHeaders w:val="1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>
        <w:spacing w:after="240" w:before="120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before="240" w:lineRule="auto"/>
      <w:ind w:left="567" w:hanging="567"/>
    </w:pPr>
    <w:rPr>
      <w:b w:val="1"/>
    </w:rPr>
  </w:style>
  <w:style w:type="paragraph" w:styleId="Heading2">
    <w:name w:val="heading 2"/>
    <w:basedOn w:val="Normal"/>
    <w:next w:val="Normal"/>
    <w:pPr>
      <w:spacing w:after="200" w:before="240" w:lineRule="auto"/>
      <w:ind w:left="567" w:hanging="567"/>
    </w:pPr>
    <w:rPr>
      <w:b w:val="1"/>
    </w:rPr>
  </w:style>
  <w:style w:type="paragraph" w:styleId="Heading3">
    <w:name w:val="heading 3"/>
    <w:basedOn w:val="Normal"/>
    <w:next w:val="Normal"/>
    <w:pPr>
      <w:keepNext w:val="1"/>
      <w:keepLines w:val="1"/>
      <w:spacing w:after="120" w:before="40" w:lineRule="auto"/>
      <w:ind w:left="567" w:hanging="567"/>
    </w:pPr>
    <w:rPr>
      <w:b w:val="1"/>
    </w:rPr>
  </w:style>
  <w:style w:type="paragraph" w:styleId="Heading4">
    <w:name w:val="heading 4"/>
    <w:basedOn w:val="Normal"/>
    <w:next w:val="Normal"/>
    <w:pPr>
      <w:keepNext w:val="1"/>
      <w:keepLines w:val="1"/>
      <w:spacing w:after="120" w:before="40" w:lineRule="auto"/>
      <w:ind w:left="567" w:hanging="567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120" w:before="40" w:lineRule="auto"/>
      <w:ind w:left="567" w:hanging="567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after="360" w:before="240" w:lineRule="auto"/>
      <w:jc w:val="center"/>
    </w:pPr>
    <w:rPr>
      <w:b w:val="1"/>
      <w:sz w:val="32"/>
      <w:szCs w:val="32"/>
    </w:rPr>
  </w:style>
  <w:style w:type="paragraph" w:styleId="Normal" w:default="1">
    <w:name w:val="Normal"/>
    <w:qFormat w:val="1"/>
    <w:rsid w:val="00AB6715"/>
    <w:pPr>
      <w:spacing w:after="240" w:before="120" w:line="240" w:lineRule="auto"/>
    </w:pPr>
    <w:rPr>
      <w:rFonts w:ascii="Times New Roman" w:hAnsi="Times New Roman"/>
      <w:sz w:val="24"/>
    </w:rPr>
  </w:style>
  <w:style w:type="paragraph" w:styleId="Heading1">
    <w:name w:val="heading 1"/>
    <w:basedOn w:val="ListParagraph"/>
    <w:next w:val="Normal"/>
    <w:link w:val="Heading1Char"/>
    <w:uiPriority w:val="2"/>
    <w:qFormat w:val="1"/>
    <w:rsid w:val="00AB6715"/>
    <w:pPr>
      <w:numPr>
        <w:numId w:val="19"/>
      </w:numPr>
      <w:spacing w:before="240"/>
      <w:contextualSpacing w:val="0"/>
      <w:outlineLvl w:val="0"/>
    </w:pPr>
    <w:rPr>
      <w:b w:val="1"/>
    </w:rPr>
  </w:style>
  <w:style w:type="paragraph" w:styleId="Heading2">
    <w:name w:val="heading 2"/>
    <w:basedOn w:val="Heading1"/>
    <w:next w:val="Normal"/>
    <w:link w:val="Heading2Char"/>
    <w:uiPriority w:val="2"/>
    <w:qFormat w:val="1"/>
    <w:rsid w:val="00AB6715"/>
    <w:pPr>
      <w:numPr>
        <w:ilvl w:val="1"/>
      </w:numPr>
      <w:spacing w:after="200"/>
      <w:outlineLvl w:val="1"/>
    </w:pPr>
  </w:style>
  <w:style w:type="paragraph" w:styleId="Heading3">
    <w:name w:val="heading 3"/>
    <w:basedOn w:val="Normal"/>
    <w:next w:val="Normal"/>
    <w:link w:val="Heading3Char"/>
    <w:uiPriority w:val="2"/>
    <w:qFormat w:val="1"/>
    <w:rsid w:val="00AB6715"/>
    <w:pPr>
      <w:keepNext w:val="1"/>
      <w:keepLines w:val="1"/>
      <w:numPr>
        <w:ilvl w:val="2"/>
        <w:numId w:val="19"/>
      </w:numPr>
      <w:spacing w:after="120" w:before="40"/>
      <w:outlineLvl w:val="2"/>
    </w:pPr>
    <w:rPr>
      <w:rFonts w:cstheme="majorBidi" w:eastAsiaTheme="majorEastAsia"/>
      <w:b w:val="1"/>
      <w:szCs w:val="24"/>
    </w:rPr>
  </w:style>
  <w:style w:type="paragraph" w:styleId="Heading4">
    <w:name w:val="heading 4"/>
    <w:basedOn w:val="Heading3"/>
    <w:next w:val="Normal"/>
    <w:link w:val="Heading4Char"/>
    <w:uiPriority w:val="2"/>
    <w:qFormat w:val="1"/>
    <w:rsid w:val="00AB6715"/>
    <w:pPr>
      <w:numPr>
        <w:ilvl w:val="3"/>
      </w:numPr>
      <w:outlineLvl w:val="3"/>
    </w:pPr>
    <w:rPr>
      <w:iCs w:val="1"/>
    </w:rPr>
  </w:style>
  <w:style w:type="paragraph" w:styleId="Heading5">
    <w:name w:val="heading 5"/>
    <w:basedOn w:val="Heading4"/>
    <w:next w:val="Normal"/>
    <w:link w:val="Heading5Char"/>
    <w:uiPriority w:val="2"/>
    <w:qFormat w:val="1"/>
    <w:rsid w:val="00AB6715"/>
    <w:pPr>
      <w:numPr>
        <w:ilvl w:val="4"/>
      </w:numPr>
      <w:outlineLvl w:val="4"/>
    </w:p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2"/>
    <w:rsid w:val="00AB6715"/>
    <w:rPr>
      <w:rFonts w:ascii="Times New Roman" w:cs="Times New Roman" w:eastAsia="Cambria" w:hAnsi="Times New Roman"/>
      <w:b w:val="1"/>
      <w:sz w:val="24"/>
      <w:szCs w:val="24"/>
    </w:rPr>
  </w:style>
  <w:style w:type="character" w:styleId="Heading2Char" w:customStyle="1">
    <w:name w:val="Heading 2 Char"/>
    <w:basedOn w:val="DefaultParagraphFont"/>
    <w:link w:val="Heading2"/>
    <w:uiPriority w:val="2"/>
    <w:rsid w:val="00AB6715"/>
    <w:rPr>
      <w:rFonts w:ascii="Times New Roman" w:cs="Times New Roman" w:eastAsia="Cambria" w:hAnsi="Times New Roman"/>
      <w:b w:val="1"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99"/>
    <w:unhideWhenUsed w:val="1"/>
    <w:qFormat w:val="1"/>
    <w:rsid w:val="00AB6715"/>
    <w:pPr>
      <w:spacing w:before="240"/>
    </w:pPr>
    <w:rPr>
      <w:rFonts w:cs="Times New Roman"/>
      <w:b w:val="1"/>
      <w:szCs w:val="24"/>
    </w:rPr>
  </w:style>
  <w:style w:type="character" w:styleId="SubtitleChar" w:customStyle="1">
    <w:name w:val="Subtitle Char"/>
    <w:basedOn w:val="DefaultParagraphFont"/>
    <w:link w:val="Subtitle"/>
    <w:uiPriority w:val="99"/>
    <w:rsid w:val="00AB6715"/>
    <w:rPr>
      <w:rFonts w:ascii="Times New Roman" w:cs="Times New Roman" w:hAnsi="Times New Roman"/>
      <w:b w:val="1"/>
      <w:sz w:val="24"/>
      <w:szCs w:val="24"/>
    </w:rPr>
  </w:style>
  <w:style w:type="paragraph" w:styleId="AuthorList" w:customStyle="1">
    <w:name w:val="Author List"/>
    <w:aliases w:val="Keywords,Abstract"/>
    <w:basedOn w:val="Subtitle"/>
    <w:next w:val="Normal"/>
    <w:uiPriority w:val="1"/>
    <w:qFormat w:val="1"/>
    <w:rsid w:val="00AB6715"/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AB6715"/>
    <w:pPr>
      <w:spacing w:after="0"/>
    </w:pPr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AB6715"/>
    <w:rPr>
      <w:rFonts w:ascii="Tahoma" w:cs="Tahoma" w:hAnsi="Tahoma"/>
      <w:sz w:val="16"/>
      <w:szCs w:val="16"/>
    </w:rPr>
  </w:style>
  <w:style w:type="character" w:styleId="BookTitle">
    <w:name w:val="Book Title"/>
    <w:basedOn w:val="DefaultParagraphFont"/>
    <w:uiPriority w:val="33"/>
    <w:qFormat w:val="1"/>
    <w:rsid w:val="00AB6715"/>
    <w:rPr>
      <w:rFonts w:ascii="Times New Roman" w:hAnsi="Times New Roman"/>
      <w:b w:val="1"/>
      <w:bCs w:val="1"/>
      <w:i w:val="1"/>
      <w:iCs w:val="1"/>
      <w:spacing w:val="5"/>
    </w:rPr>
  </w:style>
  <w:style w:type="paragraph" w:styleId="Caption">
    <w:name w:val="caption"/>
    <w:basedOn w:val="Normal"/>
    <w:next w:val="NoSpacing"/>
    <w:uiPriority w:val="35"/>
    <w:unhideWhenUsed w:val="1"/>
    <w:qFormat w:val="1"/>
    <w:rsid w:val="00AB6715"/>
    <w:pPr>
      <w:keepNext w:val="1"/>
    </w:pPr>
    <w:rPr>
      <w:rFonts w:cs="Times New Roman"/>
      <w:b w:val="1"/>
      <w:bCs w:val="1"/>
      <w:szCs w:val="24"/>
    </w:rPr>
  </w:style>
  <w:style w:type="paragraph" w:styleId="NoSpacing">
    <w:name w:val="No Spacing"/>
    <w:uiPriority w:val="99"/>
    <w:unhideWhenUsed w:val="1"/>
    <w:qFormat w:val="1"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AB671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rsid w:val="00AB6715"/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sid w:val="00AB6715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AB6715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AB6715"/>
    <w:rPr>
      <w:rFonts w:ascii="Times New Roman" w:hAnsi="Times New Roman"/>
      <w:b w:val="1"/>
      <w:bCs w:val="1"/>
      <w:sz w:val="20"/>
      <w:szCs w:val="20"/>
    </w:rPr>
  </w:style>
  <w:style w:type="character" w:styleId="Emphasis">
    <w:name w:val="Emphasis"/>
    <w:basedOn w:val="DefaultParagraphFont"/>
    <w:uiPriority w:val="20"/>
    <w:qFormat w:val="1"/>
    <w:rsid w:val="00AB6715"/>
    <w:rPr>
      <w:rFonts w:ascii="Times New Roman" w:hAnsi="Times New Roman"/>
      <w:i w:val="1"/>
      <w:iCs w:val="1"/>
    </w:rPr>
  </w:style>
  <w:style w:type="character" w:styleId="EndnoteReference">
    <w:name w:val="endnote reference"/>
    <w:basedOn w:val="DefaultParagraphFont"/>
    <w:uiPriority w:val="99"/>
    <w:semiHidden w:val="1"/>
    <w:unhideWhenUsed w:val="1"/>
    <w:rsid w:val="00AB6715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 w:val="1"/>
    <w:unhideWhenUsed w:val="1"/>
    <w:rsid w:val="00AB6715"/>
    <w:pPr>
      <w:spacing w:after="0"/>
    </w:pPr>
    <w:rPr>
      <w:sz w:val="20"/>
      <w:szCs w:val="20"/>
    </w:rPr>
  </w:style>
  <w:style w:type="character" w:styleId="EndnoteTextChar" w:customStyle="1">
    <w:name w:val="Endnote Text Char"/>
    <w:basedOn w:val="DefaultParagraphFont"/>
    <w:link w:val="EndnoteText"/>
    <w:uiPriority w:val="99"/>
    <w:semiHidden w:val="1"/>
    <w:rsid w:val="00AB6715"/>
    <w:rPr>
      <w:rFonts w:ascii="Times New Roman" w:hAnsi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 w:val="1"/>
    <w:unhideWhenUsed w:val="1"/>
    <w:rsid w:val="00AB6715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 w:val="1"/>
    <w:rsid w:val="00AB6715"/>
    <w:pPr>
      <w:tabs>
        <w:tab w:val="center" w:pos="4844"/>
        <w:tab w:val="right" w:pos="9689"/>
      </w:tabs>
      <w:spacing w:after="0"/>
    </w:pPr>
  </w:style>
  <w:style w:type="character" w:styleId="FooterChar" w:customStyle="1">
    <w:name w:val="Footer Char"/>
    <w:basedOn w:val="DefaultParagraphFont"/>
    <w:link w:val="Footer"/>
    <w:uiPriority w:val="99"/>
    <w:rsid w:val="00AB6715"/>
    <w:rPr>
      <w:rFonts w:ascii="Times New Roman" w:hAnsi="Times New Roman"/>
      <w:sz w:val="24"/>
    </w:rPr>
  </w:style>
  <w:style w:type="character" w:styleId="FootnoteReference">
    <w:name w:val="footnote reference"/>
    <w:basedOn w:val="DefaultParagraphFont"/>
    <w:uiPriority w:val="99"/>
    <w:semiHidden w:val="1"/>
    <w:unhideWhenUsed w:val="1"/>
    <w:rsid w:val="00AB6715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 w:val="1"/>
    <w:unhideWhenUsed w:val="1"/>
    <w:rsid w:val="00AB6715"/>
    <w:pPr>
      <w:spacing w:after="0"/>
    </w:pPr>
    <w:rPr>
      <w:sz w:val="20"/>
      <w:szCs w:val="20"/>
    </w:rPr>
  </w:style>
  <w:style w:type="character" w:styleId="FootnoteTextChar" w:customStyle="1">
    <w:name w:val="Footnote Text Char"/>
    <w:basedOn w:val="DefaultParagraphFont"/>
    <w:link w:val="FootnoteText"/>
    <w:uiPriority w:val="99"/>
    <w:semiHidden w:val="1"/>
    <w:rsid w:val="00AB6715"/>
    <w:rPr>
      <w:rFonts w:ascii="Times New Roman" w:hAnsi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 w:val="1"/>
    <w:rsid w:val="00AB6715"/>
    <w:pPr>
      <w:tabs>
        <w:tab w:val="center" w:pos="4844"/>
        <w:tab w:val="right" w:pos="9689"/>
      </w:tabs>
    </w:pPr>
    <w:rPr>
      <w:b w:val="1"/>
    </w:rPr>
  </w:style>
  <w:style w:type="character" w:styleId="HeaderChar" w:customStyle="1">
    <w:name w:val="Header Char"/>
    <w:basedOn w:val="DefaultParagraphFont"/>
    <w:link w:val="Header"/>
    <w:uiPriority w:val="99"/>
    <w:rsid w:val="00AB6715"/>
    <w:rPr>
      <w:rFonts w:ascii="Times New Roman" w:hAnsi="Times New Roman"/>
      <w:b w:val="1"/>
      <w:sz w:val="24"/>
    </w:rPr>
  </w:style>
  <w:style w:type="paragraph" w:styleId="ListParagraph">
    <w:name w:val="List Paragraph"/>
    <w:basedOn w:val="Normal"/>
    <w:uiPriority w:val="3"/>
    <w:qFormat w:val="1"/>
    <w:rsid w:val="00AB6715"/>
    <w:pPr>
      <w:numPr>
        <w:numId w:val="13"/>
      </w:numPr>
      <w:contextualSpacing w:val="1"/>
    </w:pPr>
    <w:rPr>
      <w:rFonts w:cs="Times New Roman" w:eastAsia="Cambria"/>
      <w:szCs w:val="24"/>
    </w:rPr>
  </w:style>
  <w:style w:type="numbering" w:styleId="Headings" w:customStyle="1">
    <w:name w:val="Headings"/>
    <w:uiPriority w:val="99"/>
    <w:rsid w:val="00AB6715"/>
    <w:pPr>
      <w:numPr>
        <w:numId w:val="14"/>
      </w:numPr>
    </w:pPr>
  </w:style>
  <w:style w:type="character" w:styleId="Hyperlink">
    <w:name w:val="Hyperlink"/>
    <w:basedOn w:val="DefaultParagraphFont"/>
    <w:uiPriority w:val="99"/>
    <w:unhideWhenUsed w:val="1"/>
    <w:rsid w:val="00AB6715"/>
    <w:rPr>
      <w:color w:val="0000ff"/>
      <w:u w:val="single"/>
    </w:rPr>
  </w:style>
  <w:style w:type="character" w:styleId="IntenseEmphasis">
    <w:name w:val="Intense Emphasis"/>
    <w:basedOn w:val="DefaultParagraphFont"/>
    <w:uiPriority w:val="21"/>
    <w:unhideWhenUsed w:val="1"/>
    <w:rsid w:val="00AB6715"/>
    <w:rPr>
      <w:rFonts w:ascii="Times New Roman" w:hAnsi="Times New Roman"/>
      <w:i w:val="1"/>
      <w:iCs w:val="1"/>
      <w:color w:val="auto"/>
    </w:rPr>
  </w:style>
  <w:style w:type="character" w:styleId="IntenseReference">
    <w:name w:val="Intense Reference"/>
    <w:basedOn w:val="DefaultParagraphFont"/>
    <w:uiPriority w:val="32"/>
    <w:qFormat w:val="1"/>
    <w:rsid w:val="00AB6715"/>
    <w:rPr>
      <w:b w:val="1"/>
      <w:bCs w:val="1"/>
      <w:smallCaps w:val="1"/>
      <w:color w:val="auto"/>
      <w:spacing w:val="5"/>
    </w:rPr>
  </w:style>
  <w:style w:type="character" w:styleId="LineNumber">
    <w:name w:val="line number"/>
    <w:basedOn w:val="DefaultParagraphFont"/>
    <w:uiPriority w:val="99"/>
    <w:semiHidden w:val="1"/>
    <w:unhideWhenUsed w:val="1"/>
    <w:rsid w:val="00AB6715"/>
  </w:style>
  <w:style w:type="character" w:styleId="Heading3Char" w:customStyle="1">
    <w:name w:val="Heading 3 Char"/>
    <w:basedOn w:val="DefaultParagraphFont"/>
    <w:link w:val="Heading3"/>
    <w:uiPriority w:val="2"/>
    <w:rsid w:val="00AB6715"/>
    <w:rPr>
      <w:rFonts w:ascii="Times New Roman" w:hAnsi="Times New Roman" w:cstheme="majorBidi" w:eastAsiaTheme="majorEastAsia"/>
      <w:b w:val="1"/>
      <w:sz w:val="24"/>
      <w:szCs w:val="24"/>
    </w:rPr>
  </w:style>
  <w:style w:type="character" w:styleId="Heading4Char" w:customStyle="1">
    <w:name w:val="Heading 4 Char"/>
    <w:basedOn w:val="DefaultParagraphFont"/>
    <w:link w:val="Heading4"/>
    <w:uiPriority w:val="2"/>
    <w:rsid w:val="00AB6715"/>
    <w:rPr>
      <w:rFonts w:ascii="Times New Roman" w:hAnsi="Times New Roman" w:cstheme="majorBidi" w:eastAsiaTheme="majorEastAsia"/>
      <w:b w:val="1"/>
      <w:iCs w:val="1"/>
      <w:sz w:val="24"/>
      <w:szCs w:val="24"/>
    </w:rPr>
  </w:style>
  <w:style w:type="character" w:styleId="Heading5Char" w:customStyle="1">
    <w:name w:val="Heading 5 Char"/>
    <w:basedOn w:val="DefaultParagraphFont"/>
    <w:link w:val="Heading5"/>
    <w:uiPriority w:val="2"/>
    <w:rsid w:val="00AB6715"/>
    <w:rPr>
      <w:rFonts w:ascii="Times New Roman" w:hAnsi="Times New Roman" w:cstheme="majorBidi" w:eastAsiaTheme="majorEastAsia"/>
      <w:b w:val="1"/>
      <w:iCs w:val="1"/>
      <w:sz w:val="24"/>
      <w:szCs w:val="24"/>
    </w:rPr>
  </w:style>
  <w:style w:type="paragraph" w:styleId="NormalWeb">
    <w:name w:val="Normal (Web)"/>
    <w:basedOn w:val="Normal"/>
    <w:uiPriority w:val="99"/>
    <w:unhideWhenUsed w:val="1"/>
    <w:rsid w:val="00AB6715"/>
    <w:pPr>
      <w:spacing w:after="100" w:afterAutospacing="1" w:before="100" w:beforeAutospacing="1"/>
    </w:pPr>
    <w:rPr>
      <w:rFonts w:cs="Times New Roman" w:eastAsia="Times New Roman"/>
      <w:szCs w:val="24"/>
    </w:rPr>
  </w:style>
  <w:style w:type="paragraph" w:styleId="Quote">
    <w:name w:val="Quote"/>
    <w:basedOn w:val="Normal"/>
    <w:next w:val="Normal"/>
    <w:link w:val="QuoteChar"/>
    <w:uiPriority w:val="29"/>
    <w:qFormat w:val="1"/>
    <w:rsid w:val="00AB6715"/>
    <w:pPr>
      <w:spacing w:after="160" w:before="200"/>
      <w:ind w:left="864" w:right="864"/>
      <w:jc w:val="center"/>
    </w:pPr>
    <w:rPr>
      <w:i w:val="1"/>
      <w:iCs w:val="1"/>
      <w:color w:val="404040" w:themeColor="text1" w:themeTint="0000BF"/>
    </w:rPr>
  </w:style>
  <w:style w:type="character" w:styleId="QuoteChar" w:customStyle="1">
    <w:name w:val="Quote Char"/>
    <w:basedOn w:val="DefaultParagraphFont"/>
    <w:link w:val="Quote"/>
    <w:uiPriority w:val="29"/>
    <w:rsid w:val="00AB6715"/>
    <w:rPr>
      <w:rFonts w:ascii="Times New Roman" w:hAnsi="Times New Roman"/>
      <w:i w:val="1"/>
      <w:iCs w:val="1"/>
      <w:color w:val="404040" w:themeColor="text1" w:themeTint="0000BF"/>
      <w:sz w:val="24"/>
    </w:rPr>
  </w:style>
  <w:style w:type="character" w:styleId="Strong">
    <w:name w:val="Strong"/>
    <w:basedOn w:val="DefaultParagraphFont"/>
    <w:uiPriority w:val="22"/>
    <w:qFormat w:val="1"/>
    <w:rsid w:val="00AB6715"/>
    <w:rPr>
      <w:rFonts w:ascii="Times New Roman" w:hAnsi="Times New Roman"/>
      <w:b w:val="1"/>
      <w:bCs w:val="1"/>
    </w:rPr>
  </w:style>
  <w:style w:type="character" w:styleId="SubtleEmphasis">
    <w:name w:val="Subtle Emphasis"/>
    <w:basedOn w:val="DefaultParagraphFont"/>
    <w:uiPriority w:val="19"/>
    <w:qFormat w:val="1"/>
    <w:rsid w:val="00AB6715"/>
    <w:rPr>
      <w:rFonts w:ascii="Times New Roman" w:hAnsi="Times New Roman"/>
      <w:i w:val="1"/>
      <w:iCs w:val="1"/>
      <w:color w:val="404040" w:themeColor="text1" w:themeTint="0000BF"/>
    </w:rPr>
  </w:style>
  <w:style w:type="table" w:styleId="TableGrid">
    <w:name w:val="Table Grid"/>
    <w:basedOn w:val="TableNormal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Title">
    <w:name w:val="Title"/>
    <w:basedOn w:val="Normal"/>
    <w:next w:val="Normal"/>
    <w:link w:val="TitleChar"/>
    <w:qFormat w:val="1"/>
    <w:rsid w:val="00AB6715"/>
    <w:pPr>
      <w:suppressLineNumbers w:val="1"/>
      <w:spacing w:after="360" w:before="240"/>
      <w:jc w:val="center"/>
    </w:pPr>
    <w:rPr>
      <w:rFonts w:cs="Times New Roman"/>
      <w:b w:val="1"/>
      <w:sz w:val="32"/>
      <w:szCs w:val="32"/>
    </w:rPr>
  </w:style>
  <w:style w:type="character" w:styleId="TitleChar" w:customStyle="1">
    <w:name w:val="Title Char"/>
    <w:basedOn w:val="DefaultParagraphFont"/>
    <w:link w:val="Title"/>
    <w:rsid w:val="00AB6715"/>
    <w:rPr>
      <w:rFonts w:ascii="Times New Roman" w:cs="Times New Roman" w:hAnsi="Times New Roman"/>
      <w:b w:val="1"/>
      <w:sz w:val="32"/>
      <w:szCs w:val="32"/>
    </w:rPr>
  </w:style>
  <w:style w:type="paragraph" w:styleId="SupplementaryMaterial" w:customStyle="1">
    <w:name w:val="Supplementary Material"/>
    <w:basedOn w:val="Title"/>
    <w:next w:val="Title"/>
    <w:qFormat w:val="1"/>
    <w:rsid w:val="0001436A"/>
    <w:pPr>
      <w:spacing w:after="120"/>
    </w:pPr>
    <w:rPr>
      <w:i w:val="1"/>
    </w:rPr>
  </w:style>
  <w:style w:type="paragraph" w:styleId="Revision">
    <w:name w:val="Revision"/>
    <w:hidden w:val="1"/>
    <w:uiPriority w:val="99"/>
    <w:semiHidden w:val="1"/>
    <w:rsid w:val="00803D24"/>
    <w:pPr>
      <w:spacing w:after="0" w:line="240" w:lineRule="auto"/>
    </w:pPr>
    <w:rPr>
      <w:rFonts w:ascii="Times New Roman" w:hAnsi="Times New Roman"/>
      <w:sz w:val="24"/>
    </w:rPr>
  </w:style>
  <w:style w:type="paragraph" w:styleId="Subtitle">
    <w:name w:val="Subtitle"/>
    <w:basedOn w:val="Normal"/>
    <w:next w:val="Normal"/>
    <w:pPr>
      <w:spacing w:before="240" w:lineRule="auto"/>
    </w:pPr>
    <w:rPr>
      <w:b w:val="1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2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aramond-regular.ttf"/><Relationship Id="rId2" Type="http://schemas.openxmlformats.org/officeDocument/2006/relationships/font" Target="fonts/Garamond-bold.ttf"/><Relationship Id="rId3" Type="http://schemas.openxmlformats.org/officeDocument/2006/relationships/font" Target="fonts/Garamond-italic.ttf"/><Relationship Id="rId4" Type="http://schemas.openxmlformats.org/officeDocument/2006/relationships/font" Target="fonts/Garamond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Ma6SD0+91gyiVgqOJNA+Rz2KECg==">CgMxLjAyDmguZDVubzJkYjFoMXcwOAByITFqUUJQNS1FNmFrb0F3ZmlCeGs2alp2U0VkODN3MGpULQ==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2022-11-17T16:58:00Z</dcterms:created>
  <dc:creator>Frontiers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0x01010026445AF306EBB441B7A6158762C40D43</vt:lpwstr>
  </property>
  <property fmtid="{D5CDD505-2E9C-101B-9397-08002B2CF9AE}" pid="3" name="_dlc_DocIdItemGuid">
    <vt:lpwstr>f82bb101-9b00-462e-af01-9a0e7ec06274</vt:lpwstr>
  </property>
  <property fmtid="{D5CDD505-2E9C-101B-9397-08002B2CF9AE}" pid="4" name="Order">
    <vt:r8>1011900.0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MediaServiceImageTags">
    <vt:lpwstr/>
  </property>
</Properties>
</file>