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3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596"/>
        <w:gridCol w:w="1376"/>
        <w:gridCol w:w="1390"/>
        <w:gridCol w:w="1736"/>
        <w:gridCol w:w="1070"/>
        <w:gridCol w:w="1351"/>
        <w:gridCol w:w="1430"/>
        <w:gridCol w:w="1709"/>
        <w:gridCol w:w="1509"/>
        <w:gridCol w:w="1470"/>
        <w:gridCol w:w="1536"/>
        <w:gridCol w:w="1736"/>
        <w:gridCol w:w="1697"/>
        <w:gridCol w:w="1709"/>
      </w:tblGrid>
      <w:tr w:rsidR="00641856" w:rsidRPr="00641856" w14:paraId="24809987" w14:textId="77777777" w:rsidTr="006073F2">
        <w:trPr>
          <w:trHeight w:val="900"/>
        </w:trPr>
        <w:tc>
          <w:tcPr>
            <w:tcW w:w="206" w:type="pct"/>
            <w:shd w:val="clear" w:color="auto" w:fill="auto"/>
            <w:vAlign w:val="center"/>
            <w:hideMark/>
          </w:tcPr>
          <w:p w14:paraId="366A3EF3"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Study No.</w:t>
            </w:r>
          </w:p>
        </w:tc>
        <w:tc>
          <w:tcPr>
            <w:tcW w:w="331" w:type="pct"/>
            <w:shd w:val="clear" w:color="auto" w:fill="auto"/>
            <w:vAlign w:val="center"/>
            <w:hideMark/>
          </w:tcPr>
          <w:p w14:paraId="24FDB8E3"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Article type</w:t>
            </w:r>
          </w:p>
        </w:tc>
        <w:tc>
          <w:tcPr>
            <w:tcW w:w="296" w:type="pct"/>
            <w:shd w:val="clear" w:color="auto" w:fill="auto"/>
            <w:vAlign w:val="center"/>
            <w:hideMark/>
          </w:tcPr>
          <w:p w14:paraId="34AA9051"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Authors</w:t>
            </w:r>
          </w:p>
        </w:tc>
        <w:tc>
          <w:tcPr>
            <w:tcW w:w="298" w:type="pct"/>
            <w:shd w:val="clear" w:color="auto" w:fill="auto"/>
            <w:vAlign w:val="center"/>
            <w:hideMark/>
          </w:tcPr>
          <w:p w14:paraId="0E6F4194"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Publication year</w:t>
            </w:r>
          </w:p>
        </w:tc>
        <w:tc>
          <w:tcPr>
            <w:tcW w:w="353" w:type="pct"/>
            <w:shd w:val="clear" w:color="auto" w:fill="auto"/>
            <w:vAlign w:val="center"/>
            <w:hideMark/>
          </w:tcPr>
          <w:p w14:paraId="5D338F8C"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Study Objective</w:t>
            </w:r>
          </w:p>
        </w:tc>
        <w:tc>
          <w:tcPr>
            <w:tcW w:w="246" w:type="pct"/>
            <w:shd w:val="clear" w:color="auto" w:fill="auto"/>
            <w:vAlign w:val="center"/>
            <w:hideMark/>
          </w:tcPr>
          <w:p w14:paraId="1E16E453"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Number of patients / eyes</w:t>
            </w:r>
          </w:p>
        </w:tc>
        <w:tc>
          <w:tcPr>
            <w:tcW w:w="292" w:type="pct"/>
            <w:shd w:val="clear" w:color="auto" w:fill="auto"/>
            <w:vAlign w:val="center"/>
            <w:hideMark/>
          </w:tcPr>
          <w:p w14:paraId="6F41FE4B"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Age</w:t>
            </w:r>
          </w:p>
        </w:tc>
        <w:tc>
          <w:tcPr>
            <w:tcW w:w="304" w:type="pct"/>
            <w:shd w:val="clear" w:color="auto" w:fill="auto"/>
            <w:vAlign w:val="center"/>
            <w:hideMark/>
          </w:tcPr>
          <w:p w14:paraId="51C581A6"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Gender distribution (M:F)</w:t>
            </w:r>
          </w:p>
        </w:tc>
        <w:tc>
          <w:tcPr>
            <w:tcW w:w="349" w:type="pct"/>
            <w:shd w:val="clear" w:color="auto" w:fill="auto"/>
            <w:vAlign w:val="center"/>
            <w:hideMark/>
          </w:tcPr>
          <w:p w14:paraId="210BA7A1"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Myopia characteristics</w:t>
            </w:r>
          </w:p>
        </w:tc>
        <w:tc>
          <w:tcPr>
            <w:tcW w:w="317" w:type="pct"/>
            <w:shd w:val="clear" w:color="auto" w:fill="auto"/>
            <w:vAlign w:val="center"/>
            <w:hideMark/>
          </w:tcPr>
          <w:p w14:paraId="572A9BA9"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Type of glaucoma</w:t>
            </w:r>
          </w:p>
        </w:tc>
        <w:tc>
          <w:tcPr>
            <w:tcW w:w="310" w:type="pct"/>
            <w:shd w:val="clear" w:color="auto" w:fill="auto"/>
            <w:vAlign w:val="center"/>
            <w:hideMark/>
          </w:tcPr>
          <w:p w14:paraId="18A289E0"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Imaging assessment tool used</w:t>
            </w:r>
          </w:p>
        </w:tc>
        <w:tc>
          <w:tcPr>
            <w:tcW w:w="321" w:type="pct"/>
            <w:shd w:val="clear" w:color="auto" w:fill="auto"/>
            <w:vAlign w:val="center"/>
            <w:hideMark/>
          </w:tcPr>
          <w:p w14:paraId="2E9003EF"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Primary outcomes</w:t>
            </w:r>
          </w:p>
        </w:tc>
        <w:tc>
          <w:tcPr>
            <w:tcW w:w="353" w:type="pct"/>
            <w:shd w:val="clear" w:color="auto" w:fill="auto"/>
            <w:vAlign w:val="center"/>
            <w:hideMark/>
          </w:tcPr>
          <w:p w14:paraId="65F3AC15"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Secondary outcomes</w:t>
            </w:r>
          </w:p>
        </w:tc>
        <w:tc>
          <w:tcPr>
            <w:tcW w:w="347" w:type="pct"/>
            <w:shd w:val="clear" w:color="auto" w:fill="auto"/>
            <w:vAlign w:val="center"/>
            <w:hideMark/>
          </w:tcPr>
          <w:p w14:paraId="501D8DAD"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Complications</w:t>
            </w:r>
          </w:p>
        </w:tc>
        <w:tc>
          <w:tcPr>
            <w:tcW w:w="676" w:type="pct"/>
            <w:shd w:val="clear" w:color="auto" w:fill="auto"/>
            <w:vAlign w:val="center"/>
            <w:hideMark/>
          </w:tcPr>
          <w:p w14:paraId="18D0FCD8" w14:textId="77777777" w:rsidR="00641856" w:rsidRPr="00641856" w:rsidRDefault="00641856" w:rsidP="00641856">
            <w:pPr>
              <w:spacing w:after="0" w:line="240" w:lineRule="auto"/>
              <w:rPr>
                <w:rFonts w:ascii="Times New Roman" w:eastAsia="Times New Roman" w:hAnsi="Times New Roman" w:cs="Times New Roman"/>
                <w:b/>
                <w:bCs/>
                <w:color w:val="000000"/>
                <w:sz w:val="24"/>
                <w:szCs w:val="24"/>
                <w:lang w:val="en-US"/>
              </w:rPr>
            </w:pPr>
            <w:r w:rsidRPr="00641856">
              <w:rPr>
                <w:rFonts w:ascii="Times New Roman" w:eastAsia="Times New Roman" w:hAnsi="Times New Roman" w:cs="Times New Roman"/>
                <w:b/>
                <w:bCs/>
                <w:color w:val="000000"/>
                <w:sz w:val="24"/>
                <w:szCs w:val="24"/>
                <w:lang w:val="en-US"/>
              </w:rPr>
              <w:t>Limitations</w:t>
            </w:r>
          </w:p>
        </w:tc>
      </w:tr>
      <w:tr w:rsidR="00641856" w:rsidRPr="00641856" w14:paraId="516571C0" w14:textId="77777777" w:rsidTr="006073F2">
        <w:trPr>
          <w:trHeight w:val="1550"/>
        </w:trPr>
        <w:tc>
          <w:tcPr>
            <w:tcW w:w="206" w:type="pct"/>
            <w:shd w:val="clear" w:color="auto" w:fill="auto"/>
            <w:vAlign w:val="center"/>
            <w:hideMark/>
          </w:tcPr>
          <w:p w14:paraId="748E863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w:t>
            </w:r>
          </w:p>
        </w:tc>
        <w:tc>
          <w:tcPr>
            <w:tcW w:w="331" w:type="pct"/>
            <w:shd w:val="clear" w:color="auto" w:fill="auto"/>
            <w:vAlign w:val="center"/>
            <w:hideMark/>
          </w:tcPr>
          <w:p w14:paraId="1ABFD25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Retrospective monocentric study</w:t>
            </w:r>
          </w:p>
        </w:tc>
        <w:tc>
          <w:tcPr>
            <w:tcW w:w="296" w:type="pct"/>
            <w:shd w:val="clear" w:color="auto" w:fill="auto"/>
            <w:vAlign w:val="center"/>
            <w:hideMark/>
          </w:tcPr>
          <w:p w14:paraId="4BF4E58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w:t>
            </w:r>
            <w:proofErr w:type="spellStart"/>
            <w:r w:rsidRPr="00641856">
              <w:rPr>
                <w:rFonts w:ascii="Times New Roman" w:eastAsia="Times New Roman" w:hAnsi="Times New Roman" w:cs="Times New Roman"/>
                <w:color w:val="000000"/>
                <w:sz w:val="24"/>
                <w:szCs w:val="24"/>
                <w:lang w:val="en-US"/>
              </w:rPr>
              <w:t>Ehongo</w:t>
            </w:r>
            <w:proofErr w:type="spellEnd"/>
            <w:r w:rsidRPr="00641856">
              <w:rPr>
                <w:rFonts w:ascii="Times New Roman" w:eastAsia="Times New Roman" w:hAnsi="Times New Roman" w:cs="Times New Roman"/>
                <w:color w:val="000000"/>
                <w:sz w:val="24"/>
                <w:szCs w:val="24"/>
                <w:lang w:val="en-US"/>
              </w:rPr>
              <w:t xml:space="preserve"> et al.</w:t>
            </w:r>
          </w:p>
        </w:tc>
        <w:tc>
          <w:tcPr>
            <w:tcW w:w="298" w:type="pct"/>
            <w:shd w:val="clear" w:color="auto" w:fill="auto"/>
            <w:vAlign w:val="center"/>
            <w:hideMark/>
          </w:tcPr>
          <w:p w14:paraId="0D15BC3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2023</w:t>
            </w:r>
          </w:p>
        </w:tc>
        <w:tc>
          <w:tcPr>
            <w:tcW w:w="353" w:type="pct"/>
            <w:shd w:val="clear" w:color="auto" w:fill="auto"/>
            <w:vAlign w:val="center"/>
            <w:hideMark/>
          </w:tcPr>
          <w:p w14:paraId="15E34E5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Predicting the visual field defects and factors discriminating myopic eyes combining gamma peripapillary atrophy and peripapillary staphyloma.</w:t>
            </w:r>
          </w:p>
        </w:tc>
        <w:tc>
          <w:tcPr>
            <w:tcW w:w="246" w:type="pct"/>
            <w:shd w:val="clear" w:color="auto" w:fill="auto"/>
            <w:vAlign w:val="center"/>
            <w:hideMark/>
          </w:tcPr>
          <w:p w14:paraId="4C416C2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70 / 93 </w:t>
            </w:r>
          </w:p>
        </w:tc>
        <w:tc>
          <w:tcPr>
            <w:tcW w:w="292" w:type="pct"/>
            <w:shd w:val="clear" w:color="auto" w:fill="auto"/>
            <w:vAlign w:val="center"/>
            <w:hideMark/>
          </w:tcPr>
          <w:p w14:paraId="04DFA48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57±19 </w:t>
            </w:r>
          </w:p>
        </w:tc>
        <w:tc>
          <w:tcPr>
            <w:tcW w:w="304" w:type="pct"/>
            <w:shd w:val="clear" w:color="auto" w:fill="auto"/>
            <w:vAlign w:val="center"/>
            <w:hideMark/>
          </w:tcPr>
          <w:p w14:paraId="12B7D95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23:47</w:t>
            </w:r>
          </w:p>
        </w:tc>
        <w:tc>
          <w:tcPr>
            <w:tcW w:w="349" w:type="pct"/>
            <w:shd w:val="clear" w:color="auto" w:fill="auto"/>
            <w:vAlign w:val="center"/>
            <w:hideMark/>
          </w:tcPr>
          <w:p w14:paraId="321A841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Gamma peripapillary atrophy (</w:t>
            </w:r>
            <w:proofErr w:type="spellStart"/>
            <w:r w:rsidRPr="00641856">
              <w:rPr>
                <w:rFonts w:ascii="Times New Roman" w:eastAsia="Times New Roman" w:hAnsi="Times New Roman" w:cs="Times New Roman"/>
                <w:color w:val="000000"/>
                <w:sz w:val="24"/>
                <w:szCs w:val="24"/>
                <w:lang w:val="en-US"/>
              </w:rPr>
              <w:t>γPPA</w:t>
            </w:r>
            <w:proofErr w:type="spellEnd"/>
            <w:r w:rsidRPr="00641856">
              <w:rPr>
                <w:rFonts w:ascii="Times New Roman" w:eastAsia="Times New Roman" w:hAnsi="Times New Roman" w:cs="Times New Roman"/>
                <w:color w:val="000000"/>
                <w:sz w:val="24"/>
                <w:szCs w:val="24"/>
                <w:lang w:val="en-US"/>
              </w:rPr>
              <w:t>) and peripapillary staphyloma (PPS) combined</w:t>
            </w:r>
          </w:p>
        </w:tc>
        <w:tc>
          <w:tcPr>
            <w:tcW w:w="317" w:type="pct"/>
            <w:shd w:val="clear" w:color="auto" w:fill="auto"/>
            <w:vAlign w:val="center"/>
            <w:hideMark/>
          </w:tcPr>
          <w:p w14:paraId="3E4A9F9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w:t>
            </w:r>
          </w:p>
        </w:tc>
        <w:tc>
          <w:tcPr>
            <w:tcW w:w="310" w:type="pct"/>
            <w:shd w:val="clear" w:color="auto" w:fill="auto"/>
            <w:vAlign w:val="center"/>
            <w:hideMark/>
          </w:tcPr>
          <w:p w14:paraId="4FD8CB3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OCT, Visual field (VF) testing, Non-mydriatic fundus cameras</w:t>
            </w:r>
          </w:p>
        </w:tc>
        <w:tc>
          <w:tcPr>
            <w:tcW w:w="321" w:type="pct"/>
            <w:shd w:val="clear" w:color="auto" w:fill="auto"/>
            <w:vAlign w:val="center"/>
            <w:hideMark/>
          </w:tcPr>
          <w:p w14:paraId="4AF86CF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Proportion of VFDs was statistically significantly higher in the PICC-group than in the combination-group, and the same trend is noted for the proportion of abnormal clusters</w:t>
            </w:r>
          </w:p>
        </w:tc>
        <w:tc>
          <w:tcPr>
            <w:tcW w:w="353" w:type="pct"/>
            <w:shd w:val="clear" w:color="auto" w:fill="auto"/>
            <w:vAlign w:val="center"/>
            <w:hideMark/>
          </w:tcPr>
          <w:p w14:paraId="37785EB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OI index values not provided</w:t>
            </w:r>
          </w:p>
        </w:tc>
        <w:tc>
          <w:tcPr>
            <w:tcW w:w="347" w:type="pct"/>
            <w:shd w:val="clear" w:color="auto" w:fill="auto"/>
            <w:vAlign w:val="center"/>
            <w:hideMark/>
          </w:tcPr>
          <w:p w14:paraId="1FD5CA4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67BCCF3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Nature of the study; no follow-up</w:t>
            </w:r>
          </w:p>
        </w:tc>
      </w:tr>
      <w:tr w:rsidR="00641856" w:rsidRPr="00641856" w14:paraId="543FF94C" w14:textId="77777777" w:rsidTr="006073F2">
        <w:trPr>
          <w:trHeight w:val="1240"/>
        </w:trPr>
        <w:tc>
          <w:tcPr>
            <w:tcW w:w="206" w:type="pct"/>
            <w:shd w:val="clear" w:color="auto" w:fill="auto"/>
            <w:vAlign w:val="center"/>
            <w:hideMark/>
          </w:tcPr>
          <w:p w14:paraId="3BC9C29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w:t>
            </w:r>
          </w:p>
        </w:tc>
        <w:tc>
          <w:tcPr>
            <w:tcW w:w="331" w:type="pct"/>
            <w:shd w:val="clear" w:color="auto" w:fill="auto"/>
            <w:vAlign w:val="center"/>
            <w:hideMark/>
          </w:tcPr>
          <w:p w14:paraId="463C088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Prospective case–control study</w:t>
            </w:r>
          </w:p>
        </w:tc>
        <w:tc>
          <w:tcPr>
            <w:tcW w:w="296" w:type="pct"/>
            <w:shd w:val="clear" w:color="auto" w:fill="auto"/>
            <w:vAlign w:val="center"/>
            <w:hideMark/>
          </w:tcPr>
          <w:p w14:paraId="081F264B" w14:textId="6AFCE633" w:rsidR="00641856" w:rsidRPr="00641856" w:rsidRDefault="00663525" w:rsidP="00641856">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Chang YF</w:t>
            </w:r>
            <w:r w:rsidR="00641856" w:rsidRPr="00641856">
              <w:rPr>
                <w:rFonts w:ascii="Times New Roman" w:eastAsia="Times New Roman" w:hAnsi="Times New Roman" w:cs="Times New Roman"/>
                <w:color w:val="000000"/>
                <w:sz w:val="24"/>
                <w:szCs w:val="24"/>
                <w:lang w:val="en-US"/>
              </w:rPr>
              <w:t xml:space="preserve"> et al.</w:t>
            </w:r>
          </w:p>
        </w:tc>
        <w:tc>
          <w:tcPr>
            <w:tcW w:w="298" w:type="pct"/>
            <w:shd w:val="clear" w:color="auto" w:fill="auto"/>
            <w:vAlign w:val="center"/>
            <w:hideMark/>
          </w:tcPr>
          <w:p w14:paraId="2E0CAE2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2020</w:t>
            </w:r>
          </w:p>
        </w:tc>
        <w:tc>
          <w:tcPr>
            <w:tcW w:w="353" w:type="pct"/>
            <w:shd w:val="clear" w:color="auto" w:fill="auto"/>
            <w:vAlign w:val="center"/>
            <w:hideMark/>
          </w:tcPr>
          <w:p w14:paraId="37824D7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compare the diagnostic performance of RS-3000 and Cirrus HD-OCT in assessing glaucoma in highly myopic eyes</w:t>
            </w:r>
          </w:p>
        </w:tc>
        <w:tc>
          <w:tcPr>
            <w:tcW w:w="246" w:type="pct"/>
            <w:shd w:val="clear" w:color="auto" w:fill="auto"/>
            <w:vAlign w:val="center"/>
            <w:hideMark/>
          </w:tcPr>
          <w:p w14:paraId="1CE2774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81 eyes</w:t>
            </w:r>
          </w:p>
        </w:tc>
        <w:tc>
          <w:tcPr>
            <w:tcW w:w="292" w:type="pct"/>
            <w:shd w:val="clear" w:color="auto" w:fill="auto"/>
            <w:vAlign w:val="center"/>
            <w:hideMark/>
          </w:tcPr>
          <w:p w14:paraId="3707406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 to 59</w:t>
            </w:r>
          </w:p>
        </w:tc>
        <w:tc>
          <w:tcPr>
            <w:tcW w:w="304" w:type="pct"/>
            <w:shd w:val="clear" w:color="auto" w:fill="auto"/>
            <w:vAlign w:val="center"/>
            <w:hideMark/>
          </w:tcPr>
          <w:p w14:paraId="2C3E863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349" w:type="pct"/>
            <w:shd w:val="clear" w:color="auto" w:fill="auto"/>
            <w:vAlign w:val="center"/>
            <w:hideMark/>
          </w:tcPr>
          <w:p w14:paraId="75AE9FF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 myopia (axial length ≥ 26 mm).</w:t>
            </w:r>
          </w:p>
        </w:tc>
        <w:tc>
          <w:tcPr>
            <w:tcW w:w="317" w:type="pct"/>
            <w:shd w:val="clear" w:color="auto" w:fill="auto"/>
            <w:vAlign w:val="center"/>
            <w:hideMark/>
          </w:tcPr>
          <w:p w14:paraId="473B162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Primary open-angle glaucoma</w:t>
            </w:r>
          </w:p>
        </w:tc>
        <w:tc>
          <w:tcPr>
            <w:tcW w:w="310" w:type="pct"/>
            <w:shd w:val="clear" w:color="auto" w:fill="auto"/>
            <w:vAlign w:val="center"/>
            <w:hideMark/>
          </w:tcPr>
          <w:p w14:paraId="40CEA19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RS-3000; Cirrus HD-OCT</w:t>
            </w:r>
          </w:p>
        </w:tc>
        <w:tc>
          <w:tcPr>
            <w:tcW w:w="321" w:type="pct"/>
            <w:shd w:val="clear" w:color="auto" w:fill="auto"/>
            <w:vAlign w:val="center"/>
            <w:hideMark/>
          </w:tcPr>
          <w:p w14:paraId="52196D7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The best parameters for diagnosing glaucoma in highly myopic eyes were the average RNFL for RS-3000 and RNFL at clock-hour 7 for Cirrus HD-OCT,</w:t>
            </w:r>
          </w:p>
        </w:tc>
        <w:tc>
          <w:tcPr>
            <w:tcW w:w="353" w:type="pct"/>
            <w:shd w:val="clear" w:color="auto" w:fill="auto"/>
            <w:vAlign w:val="center"/>
            <w:hideMark/>
          </w:tcPr>
          <w:p w14:paraId="3488C7F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RS-3000 demonstrated lower false-positive rates compared to Cirrus HD-OCT in assessing glaucoma.</w:t>
            </w:r>
          </w:p>
        </w:tc>
        <w:tc>
          <w:tcPr>
            <w:tcW w:w="347" w:type="pct"/>
            <w:shd w:val="clear" w:color="auto" w:fill="auto"/>
            <w:vAlign w:val="center"/>
            <w:hideMark/>
          </w:tcPr>
          <w:p w14:paraId="7E6B495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74EA1BF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small sample size, potential selection bias, and the requirement of a glaucomatous visual field defect for diagnosis</w:t>
            </w:r>
          </w:p>
        </w:tc>
      </w:tr>
      <w:tr w:rsidR="00641856" w:rsidRPr="00641856" w14:paraId="1396552B" w14:textId="77777777" w:rsidTr="006073F2">
        <w:trPr>
          <w:trHeight w:val="2170"/>
        </w:trPr>
        <w:tc>
          <w:tcPr>
            <w:tcW w:w="206" w:type="pct"/>
            <w:shd w:val="clear" w:color="auto" w:fill="auto"/>
            <w:vAlign w:val="center"/>
            <w:hideMark/>
          </w:tcPr>
          <w:p w14:paraId="354BAA5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3</w:t>
            </w:r>
          </w:p>
        </w:tc>
        <w:tc>
          <w:tcPr>
            <w:tcW w:w="331" w:type="pct"/>
            <w:shd w:val="clear" w:color="auto" w:fill="auto"/>
            <w:vAlign w:val="center"/>
            <w:hideMark/>
          </w:tcPr>
          <w:p w14:paraId="32D3456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Retrospective, cross-sectional study</w:t>
            </w:r>
          </w:p>
        </w:tc>
        <w:tc>
          <w:tcPr>
            <w:tcW w:w="296" w:type="pct"/>
            <w:shd w:val="clear" w:color="auto" w:fill="auto"/>
            <w:vAlign w:val="center"/>
            <w:hideMark/>
          </w:tcPr>
          <w:p w14:paraId="6E1AE3F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Miki et al.</w:t>
            </w:r>
          </w:p>
        </w:tc>
        <w:tc>
          <w:tcPr>
            <w:tcW w:w="298" w:type="pct"/>
            <w:shd w:val="clear" w:color="auto" w:fill="auto"/>
            <w:vAlign w:val="center"/>
            <w:hideMark/>
          </w:tcPr>
          <w:p w14:paraId="18A8B9F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2019</w:t>
            </w:r>
          </w:p>
        </w:tc>
        <w:tc>
          <w:tcPr>
            <w:tcW w:w="353" w:type="pct"/>
            <w:shd w:val="clear" w:color="auto" w:fill="auto"/>
            <w:vAlign w:val="center"/>
            <w:hideMark/>
          </w:tcPr>
          <w:p w14:paraId="1BF267B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investigate factors associated with OCT-defined PPA zones in highly myopic eyes.</w:t>
            </w:r>
          </w:p>
        </w:tc>
        <w:tc>
          <w:tcPr>
            <w:tcW w:w="246" w:type="pct"/>
            <w:shd w:val="clear" w:color="auto" w:fill="auto"/>
            <w:vAlign w:val="center"/>
            <w:hideMark/>
          </w:tcPr>
          <w:p w14:paraId="3D82639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55 / 77</w:t>
            </w:r>
          </w:p>
        </w:tc>
        <w:tc>
          <w:tcPr>
            <w:tcW w:w="292" w:type="pct"/>
            <w:shd w:val="clear" w:color="auto" w:fill="auto"/>
            <w:vAlign w:val="center"/>
            <w:hideMark/>
          </w:tcPr>
          <w:p w14:paraId="4E32D4C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51.8±12.0</w:t>
            </w:r>
          </w:p>
        </w:tc>
        <w:tc>
          <w:tcPr>
            <w:tcW w:w="304" w:type="pct"/>
            <w:shd w:val="clear" w:color="auto" w:fill="auto"/>
            <w:vAlign w:val="center"/>
            <w:hideMark/>
          </w:tcPr>
          <w:p w14:paraId="0F1A5A2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19:36</w:t>
            </w:r>
          </w:p>
        </w:tc>
        <w:tc>
          <w:tcPr>
            <w:tcW w:w="349" w:type="pct"/>
            <w:shd w:val="clear" w:color="auto" w:fill="auto"/>
            <w:vAlign w:val="center"/>
            <w:hideMark/>
          </w:tcPr>
          <w:p w14:paraId="0101149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Highly myopic eyes (spherical equivalent refractive error ≤ -8 diopters or axial length ≥26.5 mm)</w:t>
            </w:r>
          </w:p>
        </w:tc>
        <w:tc>
          <w:tcPr>
            <w:tcW w:w="317" w:type="pct"/>
            <w:shd w:val="clear" w:color="auto" w:fill="auto"/>
            <w:vAlign w:val="center"/>
            <w:hideMark/>
          </w:tcPr>
          <w:p w14:paraId="217F7B7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Open-angle glaucoma in 49 eyes (MG group), not specified in 28 eyes (M group).</w:t>
            </w:r>
          </w:p>
        </w:tc>
        <w:tc>
          <w:tcPr>
            <w:tcW w:w="310" w:type="pct"/>
            <w:shd w:val="clear" w:color="auto" w:fill="auto"/>
            <w:vAlign w:val="center"/>
            <w:hideMark/>
          </w:tcPr>
          <w:p w14:paraId="32B1185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Swept-source OCT </w:t>
            </w:r>
          </w:p>
        </w:tc>
        <w:tc>
          <w:tcPr>
            <w:tcW w:w="321" w:type="pct"/>
            <w:shd w:val="clear" w:color="auto" w:fill="auto"/>
            <w:vAlign w:val="center"/>
            <w:hideMark/>
          </w:tcPr>
          <w:p w14:paraId="4EFFB43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beta zone positively correlated with axial length and glaucoma, and the gamma zone correlated with axial length and age but not with glaucoma</w:t>
            </w:r>
          </w:p>
        </w:tc>
        <w:tc>
          <w:tcPr>
            <w:tcW w:w="353" w:type="pct"/>
            <w:shd w:val="clear" w:color="auto" w:fill="auto"/>
            <w:vAlign w:val="center"/>
            <w:hideMark/>
          </w:tcPr>
          <w:p w14:paraId="42B13B5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The diagnostic capability of the beta and gamma zone areas for detecting glaucoma was limited</w:t>
            </w:r>
          </w:p>
        </w:tc>
        <w:tc>
          <w:tcPr>
            <w:tcW w:w="347" w:type="pct"/>
            <w:shd w:val="clear" w:color="auto" w:fill="auto"/>
            <w:vAlign w:val="center"/>
            <w:hideMark/>
          </w:tcPr>
          <w:p w14:paraId="243E784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0B994FC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OCT-based classification had poor diagnostic performance for glaucoma, and relationships between PPA areas and baseline clinical factors may be different between high myopia and </w:t>
            </w:r>
            <w:r w:rsidRPr="00641856">
              <w:rPr>
                <w:rFonts w:ascii="Times New Roman" w:eastAsia="Times New Roman" w:hAnsi="Times New Roman" w:cs="Times New Roman"/>
                <w:color w:val="000000"/>
                <w:sz w:val="24"/>
                <w:szCs w:val="24"/>
                <w:lang w:val="en-US"/>
              </w:rPr>
              <w:lastRenderedPageBreak/>
              <w:t>non-high myopia</w:t>
            </w:r>
          </w:p>
        </w:tc>
      </w:tr>
      <w:tr w:rsidR="00641856" w:rsidRPr="00641856" w14:paraId="52B93484" w14:textId="77777777" w:rsidTr="006073F2">
        <w:trPr>
          <w:trHeight w:val="1240"/>
        </w:trPr>
        <w:tc>
          <w:tcPr>
            <w:tcW w:w="206" w:type="pct"/>
            <w:shd w:val="clear" w:color="auto" w:fill="auto"/>
            <w:vAlign w:val="center"/>
            <w:hideMark/>
          </w:tcPr>
          <w:p w14:paraId="094E1E3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lastRenderedPageBreak/>
              <w:t>4</w:t>
            </w:r>
          </w:p>
        </w:tc>
        <w:tc>
          <w:tcPr>
            <w:tcW w:w="331" w:type="pct"/>
            <w:shd w:val="clear" w:color="auto" w:fill="auto"/>
            <w:vAlign w:val="center"/>
            <w:hideMark/>
          </w:tcPr>
          <w:p w14:paraId="14EA551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Prospective study</w:t>
            </w:r>
          </w:p>
        </w:tc>
        <w:tc>
          <w:tcPr>
            <w:tcW w:w="296" w:type="pct"/>
            <w:shd w:val="clear" w:color="auto" w:fill="auto"/>
            <w:vAlign w:val="center"/>
            <w:hideMark/>
          </w:tcPr>
          <w:p w14:paraId="7CCFFC4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Fan et al.</w:t>
            </w:r>
          </w:p>
        </w:tc>
        <w:tc>
          <w:tcPr>
            <w:tcW w:w="298" w:type="pct"/>
            <w:shd w:val="clear" w:color="auto" w:fill="auto"/>
            <w:vAlign w:val="center"/>
            <w:hideMark/>
          </w:tcPr>
          <w:p w14:paraId="520EC36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2022</w:t>
            </w:r>
          </w:p>
        </w:tc>
        <w:tc>
          <w:tcPr>
            <w:tcW w:w="353" w:type="pct"/>
            <w:shd w:val="clear" w:color="auto" w:fill="auto"/>
            <w:vAlign w:val="center"/>
            <w:hideMark/>
          </w:tcPr>
          <w:p w14:paraId="1B6A3D1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evaluate peripapillary vascular reactivity in primary open-angle glaucoma with and without high myopia using optical coherence tomography angiography.</w:t>
            </w:r>
          </w:p>
        </w:tc>
        <w:tc>
          <w:tcPr>
            <w:tcW w:w="246" w:type="pct"/>
            <w:shd w:val="clear" w:color="auto" w:fill="auto"/>
            <w:vAlign w:val="center"/>
            <w:hideMark/>
          </w:tcPr>
          <w:p w14:paraId="55B5DDC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48 eyes</w:t>
            </w:r>
          </w:p>
        </w:tc>
        <w:tc>
          <w:tcPr>
            <w:tcW w:w="292" w:type="pct"/>
            <w:shd w:val="clear" w:color="auto" w:fill="auto"/>
            <w:vAlign w:val="center"/>
            <w:hideMark/>
          </w:tcPr>
          <w:p w14:paraId="3D09763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32.9 ± 7.0; 43.9 ± 12.7</w:t>
            </w:r>
          </w:p>
        </w:tc>
        <w:tc>
          <w:tcPr>
            <w:tcW w:w="304" w:type="pct"/>
            <w:shd w:val="clear" w:color="auto" w:fill="auto"/>
            <w:vAlign w:val="center"/>
            <w:hideMark/>
          </w:tcPr>
          <w:p w14:paraId="2F08861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27 M:21 F</w:t>
            </w:r>
          </w:p>
        </w:tc>
        <w:tc>
          <w:tcPr>
            <w:tcW w:w="349" w:type="pct"/>
            <w:shd w:val="clear" w:color="auto" w:fill="auto"/>
            <w:vAlign w:val="center"/>
            <w:hideMark/>
          </w:tcPr>
          <w:p w14:paraId="750D6BC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Differentiating between primary open-angle glaucoma eyes with and without high myopia.</w:t>
            </w:r>
          </w:p>
        </w:tc>
        <w:tc>
          <w:tcPr>
            <w:tcW w:w="317" w:type="pct"/>
            <w:shd w:val="clear" w:color="auto" w:fill="auto"/>
            <w:vAlign w:val="center"/>
            <w:hideMark/>
          </w:tcPr>
          <w:p w14:paraId="1EECDDC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Primary open-angle glaucoma</w:t>
            </w:r>
          </w:p>
        </w:tc>
        <w:tc>
          <w:tcPr>
            <w:tcW w:w="310" w:type="pct"/>
            <w:shd w:val="clear" w:color="auto" w:fill="auto"/>
            <w:vAlign w:val="center"/>
            <w:hideMark/>
          </w:tcPr>
          <w:p w14:paraId="0004FA8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Optical coherence tomography angiography</w:t>
            </w:r>
          </w:p>
        </w:tc>
        <w:tc>
          <w:tcPr>
            <w:tcW w:w="321" w:type="pct"/>
            <w:shd w:val="clear" w:color="auto" w:fill="auto"/>
            <w:vAlign w:val="center"/>
            <w:hideMark/>
          </w:tcPr>
          <w:p w14:paraId="5A0BE1B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In primary open-angle glaucoma (POAG), retinal vascular reactivity in peripapillary capillaries is significantly impaired in eyes with high myopia.</w:t>
            </w:r>
          </w:p>
        </w:tc>
        <w:tc>
          <w:tcPr>
            <w:tcW w:w="353" w:type="pct"/>
            <w:shd w:val="clear" w:color="auto" w:fill="auto"/>
            <w:vAlign w:val="center"/>
            <w:hideMark/>
          </w:tcPr>
          <w:p w14:paraId="14DEE6B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Mentioned impairment is associated with worse spherical equivalent and elongated axial length</w:t>
            </w:r>
          </w:p>
        </w:tc>
        <w:tc>
          <w:tcPr>
            <w:tcW w:w="347" w:type="pct"/>
            <w:shd w:val="clear" w:color="auto" w:fill="auto"/>
            <w:vAlign w:val="center"/>
            <w:hideMark/>
          </w:tcPr>
          <w:p w14:paraId="464531B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6791781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r>
      <w:tr w:rsidR="00641856" w:rsidRPr="00641856" w14:paraId="1DB27C89" w14:textId="77777777" w:rsidTr="006073F2">
        <w:trPr>
          <w:trHeight w:val="1550"/>
        </w:trPr>
        <w:tc>
          <w:tcPr>
            <w:tcW w:w="206" w:type="pct"/>
            <w:shd w:val="clear" w:color="auto" w:fill="auto"/>
            <w:vAlign w:val="center"/>
            <w:hideMark/>
          </w:tcPr>
          <w:p w14:paraId="2620993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w:t>
            </w:r>
          </w:p>
        </w:tc>
        <w:tc>
          <w:tcPr>
            <w:tcW w:w="331" w:type="pct"/>
            <w:shd w:val="clear" w:color="auto" w:fill="auto"/>
            <w:vAlign w:val="center"/>
            <w:hideMark/>
          </w:tcPr>
          <w:p w14:paraId="4BA20CE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Observational comparative study</w:t>
            </w:r>
          </w:p>
        </w:tc>
        <w:tc>
          <w:tcPr>
            <w:tcW w:w="296" w:type="pct"/>
            <w:shd w:val="clear" w:color="auto" w:fill="auto"/>
            <w:vAlign w:val="center"/>
            <w:hideMark/>
          </w:tcPr>
          <w:p w14:paraId="22D699F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Chang et al.</w:t>
            </w:r>
          </w:p>
        </w:tc>
        <w:tc>
          <w:tcPr>
            <w:tcW w:w="298" w:type="pct"/>
            <w:shd w:val="clear" w:color="auto" w:fill="auto"/>
            <w:vAlign w:val="center"/>
            <w:hideMark/>
          </w:tcPr>
          <w:p w14:paraId="1DDC951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2022</w:t>
            </w:r>
          </w:p>
        </w:tc>
        <w:tc>
          <w:tcPr>
            <w:tcW w:w="353" w:type="pct"/>
            <w:shd w:val="clear" w:color="auto" w:fill="auto"/>
            <w:vAlign w:val="center"/>
            <w:hideMark/>
          </w:tcPr>
          <w:p w14:paraId="32501B0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assess the diagnostic abilities of perfusion density and structural thickness parameters in the peripapillary and macular regions using OCTA and OCT for the detection of early glaucoma and to compare these abilities between highly myopic and non-highly myopic patients.</w:t>
            </w:r>
          </w:p>
        </w:tc>
        <w:tc>
          <w:tcPr>
            <w:tcW w:w="246" w:type="pct"/>
            <w:shd w:val="clear" w:color="auto" w:fill="auto"/>
            <w:vAlign w:val="center"/>
            <w:hideMark/>
          </w:tcPr>
          <w:p w14:paraId="462896B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75 patients</w:t>
            </w:r>
          </w:p>
        </w:tc>
        <w:tc>
          <w:tcPr>
            <w:tcW w:w="292" w:type="pct"/>
            <w:shd w:val="clear" w:color="auto" w:fill="auto"/>
            <w:vAlign w:val="center"/>
            <w:hideMark/>
          </w:tcPr>
          <w:p w14:paraId="1E2A711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42.63 ± 10.72; 54.94 ± 8.65</w:t>
            </w:r>
          </w:p>
        </w:tc>
        <w:tc>
          <w:tcPr>
            <w:tcW w:w="304" w:type="pct"/>
            <w:shd w:val="clear" w:color="auto" w:fill="auto"/>
            <w:vAlign w:val="center"/>
            <w:hideMark/>
          </w:tcPr>
          <w:p w14:paraId="5D40BF2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52 M: 23 F</w:t>
            </w:r>
          </w:p>
        </w:tc>
        <w:tc>
          <w:tcPr>
            <w:tcW w:w="349" w:type="pct"/>
            <w:shd w:val="clear" w:color="auto" w:fill="auto"/>
            <w:vAlign w:val="center"/>
            <w:hideMark/>
          </w:tcPr>
          <w:p w14:paraId="17F1AEB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Highly myopic (HM) and non-highly myopic (NHM) patients were compared</w:t>
            </w:r>
          </w:p>
        </w:tc>
        <w:tc>
          <w:tcPr>
            <w:tcW w:w="317" w:type="pct"/>
            <w:shd w:val="clear" w:color="auto" w:fill="auto"/>
            <w:vAlign w:val="center"/>
            <w:hideMark/>
          </w:tcPr>
          <w:p w14:paraId="2DC90FE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w:t>
            </w:r>
          </w:p>
        </w:tc>
        <w:tc>
          <w:tcPr>
            <w:tcW w:w="310" w:type="pct"/>
            <w:shd w:val="clear" w:color="auto" w:fill="auto"/>
            <w:vAlign w:val="center"/>
            <w:hideMark/>
          </w:tcPr>
          <w:p w14:paraId="1574E8B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Optical coherence tomography angiography and optical coherence tomography </w:t>
            </w:r>
          </w:p>
        </w:tc>
        <w:tc>
          <w:tcPr>
            <w:tcW w:w="321" w:type="pct"/>
            <w:shd w:val="clear" w:color="auto" w:fill="auto"/>
            <w:vAlign w:val="center"/>
            <w:hideMark/>
          </w:tcPr>
          <w:p w14:paraId="410F8FD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Macular perfusion density and macular ganglion cell-inner plexiform layer thickness had similar diagnostic abilities in both groups</w:t>
            </w:r>
          </w:p>
        </w:tc>
        <w:tc>
          <w:tcPr>
            <w:tcW w:w="353" w:type="pct"/>
            <w:shd w:val="clear" w:color="auto" w:fill="auto"/>
            <w:vAlign w:val="center"/>
            <w:hideMark/>
          </w:tcPr>
          <w:p w14:paraId="0D0EE8A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Peripapillary perfusion density and pRNFL thickness showed significantly lower diagnostic abilities in the highly myopic group</w:t>
            </w:r>
          </w:p>
        </w:tc>
        <w:tc>
          <w:tcPr>
            <w:tcW w:w="347" w:type="pct"/>
            <w:shd w:val="clear" w:color="auto" w:fill="auto"/>
            <w:vAlign w:val="center"/>
            <w:hideMark/>
          </w:tcPr>
          <w:p w14:paraId="1000209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6FEE229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Nature of the study; BP not studied; OCT and OCTA measurements were not redefined.</w:t>
            </w:r>
          </w:p>
        </w:tc>
      </w:tr>
      <w:tr w:rsidR="00641856" w:rsidRPr="00641856" w14:paraId="18FDFD9E" w14:textId="77777777" w:rsidTr="006073F2">
        <w:trPr>
          <w:trHeight w:val="2790"/>
        </w:trPr>
        <w:tc>
          <w:tcPr>
            <w:tcW w:w="206" w:type="pct"/>
            <w:shd w:val="clear" w:color="auto" w:fill="auto"/>
            <w:vAlign w:val="center"/>
            <w:hideMark/>
          </w:tcPr>
          <w:p w14:paraId="636060B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lastRenderedPageBreak/>
              <w:t>6</w:t>
            </w:r>
          </w:p>
        </w:tc>
        <w:tc>
          <w:tcPr>
            <w:tcW w:w="331" w:type="pct"/>
            <w:shd w:val="clear" w:color="auto" w:fill="auto"/>
            <w:vAlign w:val="center"/>
            <w:hideMark/>
          </w:tcPr>
          <w:p w14:paraId="036B619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Cross-sectional case-control study</w:t>
            </w:r>
          </w:p>
        </w:tc>
        <w:tc>
          <w:tcPr>
            <w:tcW w:w="296" w:type="pct"/>
            <w:shd w:val="clear" w:color="auto" w:fill="auto"/>
            <w:vAlign w:val="center"/>
            <w:hideMark/>
          </w:tcPr>
          <w:p w14:paraId="498BA32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Mohammad </w:t>
            </w:r>
            <w:proofErr w:type="spellStart"/>
            <w:r w:rsidRPr="00641856">
              <w:rPr>
                <w:rFonts w:ascii="Times New Roman" w:eastAsia="Times New Roman" w:hAnsi="Times New Roman" w:cs="Times New Roman"/>
                <w:color w:val="000000"/>
                <w:sz w:val="24"/>
                <w:szCs w:val="24"/>
                <w:lang w:val="en-US"/>
              </w:rPr>
              <w:t>Noureldine</w:t>
            </w:r>
            <w:proofErr w:type="spellEnd"/>
            <w:r w:rsidRPr="00641856">
              <w:rPr>
                <w:rFonts w:ascii="Times New Roman" w:eastAsia="Times New Roman" w:hAnsi="Times New Roman" w:cs="Times New Roman"/>
                <w:color w:val="000000"/>
                <w:sz w:val="24"/>
                <w:szCs w:val="24"/>
                <w:lang w:val="en-US"/>
              </w:rPr>
              <w:t xml:space="preserve"> et al.</w:t>
            </w:r>
          </w:p>
        </w:tc>
        <w:tc>
          <w:tcPr>
            <w:tcW w:w="298" w:type="pct"/>
            <w:shd w:val="clear" w:color="auto" w:fill="auto"/>
            <w:vAlign w:val="center"/>
            <w:hideMark/>
          </w:tcPr>
          <w:p w14:paraId="0CFF5CC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2019</w:t>
            </w:r>
          </w:p>
        </w:tc>
        <w:tc>
          <w:tcPr>
            <w:tcW w:w="353" w:type="pct"/>
            <w:shd w:val="clear" w:color="auto" w:fill="auto"/>
            <w:vAlign w:val="center"/>
            <w:hideMark/>
          </w:tcPr>
          <w:p w14:paraId="3B96DB9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detect accurate parameters for glaucoma diagnosis in high myopia and discriminate between retinal thinning due to glaucoma and myopia.</w:t>
            </w:r>
          </w:p>
        </w:tc>
        <w:tc>
          <w:tcPr>
            <w:tcW w:w="246" w:type="pct"/>
            <w:shd w:val="clear" w:color="auto" w:fill="auto"/>
            <w:vAlign w:val="center"/>
            <w:hideMark/>
          </w:tcPr>
          <w:p w14:paraId="25730A8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62 / 62</w:t>
            </w:r>
          </w:p>
        </w:tc>
        <w:tc>
          <w:tcPr>
            <w:tcW w:w="292" w:type="pct"/>
            <w:shd w:val="clear" w:color="auto" w:fill="auto"/>
            <w:vAlign w:val="center"/>
            <w:hideMark/>
          </w:tcPr>
          <w:p w14:paraId="496761E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48.22 ± 6.77; 52.00 ± 10.33</w:t>
            </w:r>
          </w:p>
        </w:tc>
        <w:tc>
          <w:tcPr>
            <w:tcW w:w="304" w:type="pct"/>
            <w:shd w:val="clear" w:color="auto" w:fill="auto"/>
            <w:vAlign w:val="center"/>
            <w:hideMark/>
          </w:tcPr>
          <w:p w14:paraId="1E24206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26 M: 36 F</w:t>
            </w:r>
          </w:p>
        </w:tc>
        <w:tc>
          <w:tcPr>
            <w:tcW w:w="349" w:type="pct"/>
            <w:shd w:val="clear" w:color="auto" w:fill="auto"/>
            <w:vAlign w:val="center"/>
            <w:hideMark/>
          </w:tcPr>
          <w:p w14:paraId="6AFCEE4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Myopia &gt; -6.0 Diopters or Axial length (AXL) &gt; 26.5 mm.</w:t>
            </w:r>
          </w:p>
        </w:tc>
        <w:tc>
          <w:tcPr>
            <w:tcW w:w="317" w:type="pct"/>
            <w:shd w:val="clear" w:color="auto" w:fill="auto"/>
            <w:vAlign w:val="center"/>
            <w:hideMark/>
          </w:tcPr>
          <w:p w14:paraId="044F181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Primary open-angle glaucoma, including both perimetric and </w:t>
            </w:r>
            <w:proofErr w:type="spellStart"/>
            <w:r w:rsidRPr="00641856">
              <w:rPr>
                <w:rFonts w:ascii="Times New Roman" w:eastAsia="Times New Roman" w:hAnsi="Times New Roman" w:cs="Times New Roman"/>
                <w:color w:val="000000"/>
                <w:sz w:val="24"/>
                <w:szCs w:val="24"/>
                <w:lang w:val="en-US"/>
              </w:rPr>
              <w:t>preperimetric</w:t>
            </w:r>
            <w:proofErr w:type="spellEnd"/>
            <w:r w:rsidRPr="00641856">
              <w:rPr>
                <w:rFonts w:ascii="Times New Roman" w:eastAsia="Times New Roman" w:hAnsi="Times New Roman" w:cs="Times New Roman"/>
                <w:color w:val="000000"/>
                <w:sz w:val="24"/>
                <w:szCs w:val="24"/>
                <w:lang w:val="en-US"/>
              </w:rPr>
              <w:t xml:space="preserve"> glaucoma</w:t>
            </w:r>
          </w:p>
        </w:tc>
        <w:tc>
          <w:tcPr>
            <w:tcW w:w="310" w:type="pct"/>
            <w:shd w:val="clear" w:color="auto" w:fill="auto"/>
            <w:vAlign w:val="center"/>
            <w:hideMark/>
          </w:tcPr>
          <w:p w14:paraId="695B86E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OCT</w:t>
            </w:r>
          </w:p>
        </w:tc>
        <w:tc>
          <w:tcPr>
            <w:tcW w:w="321" w:type="pct"/>
            <w:shd w:val="clear" w:color="auto" w:fill="auto"/>
            <w:vAlign w:val="center"/>
            <w:hideMark/>
          </w:tcPr>
          <w:p w14:paraId="77539C1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The ONH parameter, cup area, and the GCC parameter, GLV, are key parameters in supporting the diagnosis of glaucoma in myopic patients</w:t>
            </w:r>
          </w:p>
        </w:tc>
        <w:tc>
          <w:tcPr>
            <w:tcW w:w="353" w:type="pct"/>
            <w:shd w:val="clear" w:color="auto" w:fill="auto"/>
            <w:vAlign w:val="center"/>
            <w:hideMark/>
          </w:tcPr>
          <w:p w14:paraId="5D9728F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inferior RNFL thickness, FLV, and C/D ratio may also be used in the diagnosis of myopia.</w:t>
            </w:r>
          </w:p>
        </w:tc>
        <w:tc>
          <w:tcPr>
            <w:tcW w:w="347" w:type="pct"/>
            <w:shd w:val="clear" w:color="auto" w:fill="auto"/>
            <w:vAlign w:val="center"/>
            <w:hideMark/>
          </w:tcPr>
          <w:p w14:paraId="0B0A8DA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2EE8186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Nature of the study; potential lack of accuracy and reproducibility of OCT in cases of very high myopia due to the presence of posterior staphyloma and long axial length, which led to the exclusion of complicated higher degrees of myopia </w:t>
            </w:r>
          </w:p>
        </w:tc>
      </w:tr>
      <w:tr w:rsidR="00641856" w:rsidRPr="00641856" w14:paraId="7140BF71" w14:textId="77777777" w:rsidTr="006073F2">
        <w:trPr>
          <w:trHeight w:val="1240"/>
        </w:trPr>
        <w:tc>
          <w:tcPr>
            <w:tcW w:w="206" w:type="pct"/>
            <w:shd w:val="clear" w:color="auto" w:fill="auto"/>
            <w:vAlign w:val="center"/>
            <w:hideMark/>
          </w:tcPr>
          <w:p w14:paraId="62F75F1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7</w:t>
            </w:r>
          </w:p>
        </w:tc>
        <w:tc>
          <w:tcPr>
            <w:tcW w:w="331" w:type="pct"/>
            <w:shd w:val="clear" w:color="auto" w:fill="auto"/>
            <w:vAlign w:val="center"/>
            <w:hideMark/>
          </w:tcPr>
          <w:p w14:paraId="4707637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Retrospective diagnostic study</w:t>
            </w:r>
          </w:p>
        </w:tc>
        <w:tc>
          <w:tcPr>
            <w:tcW w:w="296" w:type="pct"/>
            <w:shd w:val="clear" w:color="auto" w:fill="auto"/>
            <w:vAlign w:val="center"/>
            <w:hideMark/>
          </w:tcPr>
          <w:p w14:paraId="017EFCD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proofErr w:type="spellStart"/>
            <w:r w:rsidRPr="00641856">
              <w:rPr>
                <w:rFonts w:ascii="Times New Roman" w:eastAsia="Times New Roman" w:hAnsi="Times New Roman" w:cs="Times New Roman"/>
                <w:color w:val="000000"/>
                <w:sz w:val="24"/>
                <w:szCs w:val="24"/>
                <w:lang w:val="en-US"/>
              </w:rPr>
              <w:t>Zemborain</w:t>
            </w:r>
            <w:proofErr w:type="spellEnd"/>
            <w:r w:rsidRPr="00641856">
              <w:rPr>
                <w:rFonts w:ascii="Times New Roman" w:eastAsia="Times New Roman" w:hAnsi="Times New Roman" w:cs="Times New Roman"/>
                <w:color w:val="000000"/>
                <w:sz w:val="24"/>
                <w:szCs w:val="24"/>
                <w:lang w:val="en-US"/>
              </w:rPr>
              <w:t xml:space="preserve"> et al.</w:t>
            </w:r>
          </w:p>
        </w:tc>
        <w:tc>
          <w:tcPr>
            <w:tcW w:w="298" w:type="pct"/>
            <w:shd w:val="clear" w:color="auto" w:fill="auto"/>
            <w:vAlign w:val="center"/>
            <w:hideMark/>
          </w:tcPr>
          <w:p w14:paraId="7FB5565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2020</w:t>
            </w:r>
          </w:p>
        </w:tc>
        <w:tc>
          <w:tcPr>
            <w:tcW w:w="353" w:type="pct"/>
            <w:shd w:val="clear" w:color="auto" w:fill="auto"/>
            <w:vAlign w:val="center"/>
            <w:hideMark/>
          </w:tcPr>
          <w:p w14:paraId="6ABED3F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assess whether glaucomatous damage can be accurately diagnosed in high myopes through OCT scans.</w:t>
            </w:r>
          </w:p>
        </w:tc>
        <w:tc>
          <w:tcPr>
            <w:tcW w:w="246" w:type="pct"/>
            <w:shd w:val="clear" w:color="auto" w:fill="auto"/>
            <w:vAlign w:val="center"/>
            <w:hideMark/>
          </w:tcPr>
          <w:p w14:paraId="35D7DB7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60 / 100</w:t>
            </w:r>
          </w:p>
        </w:tc>
        <w:tc>
          <w:tcPr>
            <w:tcW w:w="292" w:type="pct"/>
            <w:shd w:val="clear" w:color="auto" w:fill="auto"/>
            <w:vAlign w:val="center"/>
            <w:hideMark/>
          </w:tcPr>
          <w:p w14:paraId="350A56E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55.5 ± 14.6 (25 to 89)</w:t>
            </w:r>
          </w:p>
        </w:tc>
        <w:tc>
          <w:tcPr>
            <w:tcW w:w="304" w:type="pct"/>
            <w:shd w:val="clear" w:color="auto" w:fill="auto"/>
            <w:vAlign w:val="center"/>
            <w:hideMark/>
          </w:tcPr>
          <w:p w14:paraId="68B5392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39 M: 21 F</w:t>
            </w:r>
          </w:p>
        </w:tc>
        <w:tc>
          <w:tcPr>
            <w:tcW w:w="349" w:type="pct"/>
            <w:shd w:val="clear" w:color="auto" w:fill="auto"/>
            <w:vAlign w:val="center"/>
            <w:hideMark/>
          </w:tcPr>
          <w:p w14:paraId="0B5F825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 myopes with corrected spherical refractive errors worse than -6D and/or axial lengths ≥ 26.5mm</w:t>
            </w:r>
          </w:p>
        </w:tc>
        <w:tc>
          <w:tcPr>
            <w:tcW w:w="317" w:type="pct"/>
            <w:shd w:val="clear" w:color="auto" w:fill="auto"/>
            <w:vAlign w:val="center"/>
            <w:hideMark/>
          </w:tcPr>
          <w:p w14:paraId="6A17006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No specific type mentioned. </w:t>
            </w:r>
          </w:p>
        </w:tc>
        <w:tc>
          <w:tcPr>
            <w:tcW w:w="310" w:type="pct"/>
            <w:shd w:val="clear" w:color="auto" w:fill="auto"/>
            <w:vAlign w:val="center"/>
            <w:hideMark/>
          </w:tcPr>
          <w:p w14:paraId="0F77DC0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Spectralis HRA+OCT with the Glaucoma Module Premium protocol.</w:t>
            </w:r>
          </w:p>
        </w:tc>
        <w:tc>
          <w:tcPr>
            <w:tcW w:w="674" w:type="pct"/>
            <w:gridSpan w:val="2"/>
            <w:shd w:val="clear" w:color="auto" w:fill="auto"/>
            <w:vAlign w:val="center"/>
            <w:hideMark/>
          </w:tcPr>
          <w:p w14:paraId="04415D4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OCT scans were effective in diagnosing glaucomatous optic neuropathy (GON) in high myopes, with 97% accuracy, and identified co-existing ophthalmic pathologies in 81% of cases, often requiring additional OCT information for accurate assessment</w:t>
            </w:r>
          </w:p>
        </w:tc>
        <w:tc>
          <w:tcPr>
            <w:tcW w:w="347" w:type="pct"/>
            <w:shd w:val="clear" w:color="auto" w:fill="auto"/>
            <w:vAlign w:val="center"/>
            <w:hideMark/>
          </w:tcPr>
          <w:p w14:paraId="5AA51B8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0B1CF71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The study did not exclude any eyes based on criteria like poor scan quality or comorbidity, which may affect the generalizability of the results.</w:t>
            </w:r>
          </w:p>
        </w:tc>
      </w:tr>
      <w:tr w:rsidR="00641856" w:rsidRPr="00641856" w14:paraId="1C506490" w14:textId="77777777" w:rsidTr="006073F2">
        <w:trPr>
          <w:trHeight w:val="1860"/>
        </w:trPr>
        <w:tc>
          <w:tcPr>
            <w:tcW w:w="206" w:type="pct"/>
            <w:shd w:val="clear" w:color="auto" w:fill="auto"/>
            <w:vAlign w:val="center"/>
            <w:hideMark/>
          </w:tcPr>
          <w:p w14:paraId="5BFD3CD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8</w:t>
            </w:r>
          </w:p>
        </w:tc>
        <w:tc>
          <w:tcPr>
            <w:tcW w:w="331" w:type="pct"/>
            <w:shd w:val="clear" w:color="auto" w:fill="auto"/>
            <w:vAlign w:val="center"/>
            <w:hideMark/>
          </w:tcPr>
          <w:p w14:paraId="1D133E5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Cross-sectional observational study</w:t>
            </w:r>
          </w:p>
        </w:tc>
        <w:tc>
          <w:tcPr>
            <w:tcW w:w="296" w:type="pct"/>
            <w:shd w:val="clear" w:color="auto" w:fill="auto"/>
            <w:vAlign w:val="center"/>
            <w:hideMark/>
          </w:tcPr>
          <w:p w14:paraId="064BB20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Lee et al.</w:t>
            </w:r>
          </w:p>
        </w:tc>
        <w:tc>
          <w:tcPr>
            <w:tcW w:w="298" w:type="pct"/>
            <w:shd w:val="clear" w:color="auto" w:fill="auto"/>
            <w:vAlign w:val="center"/>
            <w:hideMark/>
          </w:tcPr>
          <w:p w14:paraId="20FA6EC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2019</w:t>
            </w:r>
          </w:p>
        </w:tc>
        <w:tc>
          <w:tcPr>
            <w:tcW w:w="353" w:type="pct"/>
            <w:shd w:val="clear" w:color="auto" w:fill="auto"/>
            <w:vAlign w:val="center"/>
            <w:hideMark/>
          </w:tcPr>
          <w:p w14:paraId="4278516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To assess the usefulness of peripapillary retinal vessel density (VD) measured using optical coherence tomography (OCT) angiography (OCTA) in evaluating glaucomatous visual field damage in highly myopic eyes with primary open-angle glaucoma </w:t>
            </w:r>
            <w:r w:rsidRPr="00641856">
              <w:rPr>
                <w:rFonts w:ascii="Times New Roman" w:eastAsia="Times New Roman" w:hAnsi="Times New Roman" w:cs="Times New Roman"/>
                <w:color w:val="000000"/>
                <w:sz w:val="24"/>
                <w:szCs w:val="24"/>
                <w:lang w:val="en-US"/>
              </w:rPr>
              <w:lastRenderedPageBreak/>
              <w:t>(POAG).</w:t>
            </w:r>
          </w:p>
        </w:tc>
        <w:tc>
          <w:tcPr>
            <w:tcW w:w="246" w:type="pct"/>
            <w:shd w:val="clear" w:color="auto" w:fill="auto"/>
            <w:vAlign w:val="center"/>
            <w:hideMark/>
          </w:tcPr>
          <w:p w14:paraId="1CD8EF4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lastRenderedPageBreak/>
              <w:t>124 eyes</w:t>
            </w:r>
          </w:p>
        </w:tc>
        <w:tc>
          <w:tcPr>
            <w:tcW w:w="292" w:type="pct"/>
            <w:shd w:val="clear" w:color="auto" w:fill="auto"/>
            <w:vAlign w:val="center"/>
            <w:hideMark/>
          </w:tcPr>
          <w:p w14:paraId="4961775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45.5±12.6; 44.2±11.0; 48.2±15.3</w:t>
            </w:r>
          </w:p>
        </w:tc>
        <w:tc>
          <w:tcPr>
            <w:tcW w:w="304" w:type="pct"/>
            <w:shd w:val="clear" w:color="auto" w:fill="auto"/>
            <w:vAlign w:val="center"/>
            <w:hideMark/>
          </w:tcPr>
          <w:p w14:paraId="3B2B8BE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78 M: 46 F</w:t>
            </w:r>
          </w:p>
        </w:tc>
        <w:tc>
          <w:tcPr>
            <w:tcW w:w="349" w:type="pct"/>
            <w:shd w:val="clear" w:color="auto" w:fill="auto"/>
            <w:vAlign w:val="center"/>
            <w:hideMark/>
          </w:tcPr>
          <w:p w14:paraId="10A24A0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Highly myopic eyes with spherical refraction ≤6.0 diopters or an axial length &gt;26.0 mm</w:t>
            </w:r>
          </w:p>
        </w:tc>
        <w:tc>
          <w:tcPr>
            <w:tcW w:w="317" w:type="pct"/>
            <w:shd w:val="clear" w:color="auto" w:fill="auto"/>
            <w:vAlign w:val="center"/>
            <w:hideMark/>
          </w:tcPr>
          <w:p w14:paraId="3CFF8C3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Primary open-angle glaucoma </w:t>
            </w:r>
          </w:p>
        </w:tc>
        <w:tc>
          <w:tcPr>
            <w:tcW w:w="310" w:type="pct"/>
            <w:shd w:val="clear" w:color="auto" w:fill="auto"/>
            <w:vAlign w:val="center"/>
            <w:hideMark/>
          </w:tcPr>
          <w:p w14:paraId="32B4173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OCTA</w:t>
            </w:r>
          </w:p>
        </w:tc>
        <w:tc>
          <w:tcPr>
            <w:tcW w:w="321" w:type="pct"/>
            <w:shd w:val="clear" w:color="auto" w:fill="auto"/>
            <w:vAlign w:val="center"/>
            <w:hideMark/>
          </w:tcPr>
          <w:p w14:paraId="41EB7A0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A significant topographical correlation between peripapillary retinal vessel density and visual field sensitivity loss in highly myopic primary open-angle glaucoma  eyes was found.</w:t>
            </w:r>
          </w:p>
        </w:tc>
        <w:tc>
          <w:tcPr>
            <w:tcW w:w="353" w:type="pct"/>
            <w:shd w:val="clear" w:color="auto" w:fill="auto"/>
            <w:vAlign w:val="center"/>
            <w:hideMark/>
          </w:tcPr>
          <w:p w14:paraId="01B4A78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A correlation between circumpapillary retinal nerve fiber layer thickness and visual field sensitivity loss in certain sectors, with both measurements providing valuable insights into glaucomatous visual field damage in highly myopic eyes</w:t>
            </w:r>
          </w:p>
        </w:tc>
        <w:tc>
          <w:tcPr>
            <w:tcW w:w="347" w:type="pct"/>
            <w:shd w:val="clear" w:color="auto" w:fill="auto"/>
            <w:vAlign w:val="center"/>
            <w:hideMark/>
          </w:tcPr>
          <w:p w14:paraId="0A8C734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492E9D2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Nature of the study; no evaluation on systemic medication or BP</w:t>
            </w:r>
          </w:p>
        </w:tc>
      </w:tr>
      <w:tr w:rsidR="00641856" w:rsidRPr="00641856" w14:paraId="32DDD3F6" w14:textId="77777777" w:rsidTr="006073F2">
        <w:trPr>
          <w:trHeight w:val="1240"/>
        </w:trPr>
        <w:tc>
          <w:tcPr>
            <w:tcW w:w="206" w:type="pct"/>
            <w:shd w:val="clear" w:color="auto" w:fill="auto"/>
            <w:vAlign w:val="center"/>
            <w:hideMark/>
          </w:tcPr>
          <w:p w14:paraId="532EACB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9</w:t>
            </w:r>
          </w:p>
        </w:tc>
        <w:tc>
          <w:tcPr>
            <w:tcW w:w="331" w:type="pct"/>
            <w:shd w:val="clear" w:color="auto" w:fill="auto"/>
            <w:vAlign w:val="center"/>
            <w:hideMark/>
          </w:tcPr>
          <w:p w14:paraId="40A508D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Cross-sectional study</w:t>
            </w:r>
          </w:p>
        </w:tc>
        <w:tc>
          <w:tcPr>
            <w:tcW w:w="296" w:type="pct"/>
            <w:shd w:val="clear" w:color="auto" w:fill="auto"/>
            <w:vAlign w:val="center"/>
            <w:hideMark/>
          </w:tcPr>
          <w:p w14:paraId="16507BC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proofErr w:type="spellStart"/>
            <w:r w:rsidRPr="00641856">
              <w:rPr>
                <w:rFonts w:ascii="Times New Roman" w:eastAsia="Times New Roman" w:hAnsi="Times New Roman" w:cs="Times New Roman"/>
                <w:color w:val="000000"/>
                <w:sz w:val="24"/>
                <w:szCs w:val="24"/>
                <w:lang w:val="en-US"/>
              </w:rPr>
              <w:t>Rezapour</w:t>
            </w:r>
            <w:proofErr w:type="spellEnd"/>
            <w:r w:rsidRPr="00641856">
              <w:rPr>
                <w:rFonts w:ascii="Times New Roman" w:eastAsia="Times New Roman" w:hAnsi="Times New Roman" w:cs="Times New Roman"/>
                <w:color w:val="000000"/>
                <w:sz w:val="24"/>
                <w:szCs w:val="24"/>
                <w:lang w:val="en-US"/>
              </w:rPr>
              <w:t xml:space="preserve"> et al.</w:t>
            </w:r>
          </w:p>
        </w:tc>
        <w:tc>
          <w:tcPr>
            <w:tcW w:w="298" w:type="pct"/>
            <w:shd w:val="clear" w:color="auto" w:fill="auto"/>
            <w:vAlign w:val="center"/>
            <w:hideMark/>
          </w:tcPr>
          <w:p w14:paraId="28A8E45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2022</w:t>
            </w:r>
          </w:p>
        </w:tc>
        <w:tc>
          <w:tcPr>
            <w:tcW w:w="353" w:type="pct"/>
            <w:shd w:val="clear" w:color="auto" w:fill="auto"/>
            <w:vAlign w:val="center"/>
            <w:hideMark/>
          </w:tcPr>
          <w:p w14:paraId="724DE60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determine the predictors of Bruch's membrane opening (BMO) location accuracy and the visibility of BMO location in glaucoma and healthy individuals with and without axial high myopia.</w:t>
            </w:r>
          </w:p>
        </w:tc>
        <w:tc>
          <w:tcPr>
            <w:tcW w:w="246" w:type="pct"/>
            <w:shd w:val="clear" w:color="auto" w:fill="auto"/>
            <w:vAlign w:val="center"/>
            <w:hideMark/>
          </w:tcPr>
          <w:p w14:paraId="317D97D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344 / 551</w:t>
            </w:r>
          </w:p>
        </w:tc>
        <w:tc>
          <w:tcPr>
            <w:tcW w:w="292" w:type="pct"/>
            <w:shd w:val="clear" w:color="auto" w:fill="auto"/>
            <w:vAlign w:val="center"/>
            <w:hideMark/>
          </w:tcPr>
          <w:p w14:paraId="3A3801E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66.6 (64.9, 68.2)</w:t>
            </w:r>
          </w:p>
        </w:tc>
        <w:tc>
          <w:tcPr>
            <w:tcW w:w="304" w:type="pct"/>
            <w:shd w:val="clear" w:color="auto" w:fill="auto"/>
            <w:vAlign w:val="center"/>
            <w:hideMark/>
          </w:tcPr>
          <w:p w14:paraId="11ACF39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166 M: 178 F</w:t>
            </w:r>
          </w:p>
        </w:tc>
        <w:tc>
          <w:tcPr>
            <w:tcW w:w="349" w:type="pct"/>
            <w:shd w:val="clear" w:color="auto" w:fill="auto"/>
            <w:vAlign w:val="center"/>
            <w:hideMark/>
          </w:tcPr>
          <w:p w14:paraId="330A0CC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Axial high myopia (AL ≥ 26mm) and those without (AL &lt; 26mm)</w:t>
            </w:r>
          </w:p>
        </w:tc>
        <w:tc>
          <w:tcPr>
            <w:tcW w:w="317" w:type="pct"/>
            <w:shd w:val="clear" w:color="auto" w:fill="auto"/>
            <w:vAlign w:val="center"/>
            <w:hideMark/>
          </w:tcPr>
          <w:p w14:paraId="2398D9C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No specific type mentioned. </w:t>
            </w:r>
          </w:p>
        </w:tc>
        <w:tc>
          <w:tcPr>
            <w:tcW w:w="310" w:type="pct"/>
            <w:shd w:val="clear" w:color="auto" w:fill="auto"/>
            <w:vAlign w:val="center"/>
            <w:hideMark/>
          </w:tcPr>
          <w:p w14:paraId="39E6821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ONH-OCT</w:t>
            </w:r>
          </w:p>
        </w:tc>
        <w:tc>
          <w:tcPr>
            <w:tcW w:w="321" w:type="pct"/>
            <w:shd w:val="clear" w:color="auto" w:fill="auto"/>
            <w:vAlign w:val="center"/>
            <w:hideMark/>
          </w:tcPr>
          <w:p w14:paraId="5B18FF3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BMO location accuracy was significantly lower in highly myopic eyes, with 9.1% of healthy highly myopic eyes and 15.0% of glaucoma eyes having indiscernible BMOs</w:t>
            </w:r>
          </w:p>
        </w:tc>
        <w:tc>
          <w:tcPr>
            <w:tcW w:w="353" w:type="pct"/>
            <w:shd w:val="clear" w:color="auto" w:fill="auto"/>
            <w:vAlign w:val="center"/>
            <w:hideMark/>
          </w:tcPr>
          <w:p w14:paraId="690506C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Having axial high myopia, larger AL, larger BMO tilt angle, lower BMO ovality index, and glaucoma diagnosis were significant predictors of BMO location inaccuracy</w:t>
            </w:r>
          </w:p>
        </w:tc>
        <w:tc>
          <w:tcPr>
            <w:tcW w:w="347" w:type="pct"/>
            <w:shd w:val="clear" w:color="auto" w:fill="auto"/>
            <w:vAlign w:val="center"/>
            <w:hideMark/>
          </w:tcPr>
          <w:p w14:paraId="00E0DF0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4DD9AD6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w:t>
            </w:r>
          </w:p>
        </w:tc>
      </w:tr>
      <w:tr w:rsidR="00641856" w:rsidRPr="00641856" w14:paraId="134AB331" w14:textId="77777777" w:rsidTr="006073F2">
        <w:trPr>
          <w:trHeight w:val="1860"/>
        </w:trPr>
        <w:tc>
          <w:tcPr>
            <w:tcW w:w="206" w:type="pct"/>
            <w:shd w:val="clear" w:color="auto" w:fill="auto"/>
            <w:vAlign w:val="center"/>
            <w:hideMark/>
          </w:tcPr>
          <w:p w14:paraId="0319424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10</w:t>
            </w:r>
          </w:p>
        </w:tc>
        <w:tc>
          <w:tcPr>
            <w:tcW w:w="331" w:type="pct"/>
            <w:shd w:val="clear" w:color="auto" w:fill="auto"/>
            <w:vAlign w:val="center"/>
            <w:hideMark/>
          </w:tcPr>
          <w:p w14:paraId="7B0FB92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Observational study</w:t>
            </w:r>
          </w:p>
        </w:tc>
        <w:tc>
          <w:tcPr>
            <w:tcW w:w="296" w:type="pct"/>
            <w:shd w:val="clear" w:color="auto" w:fill="auto"/>
            <w:vAlign w:val="center"/>
            <w:hideMark/>
          </w:tcPr>
          <w:p w14:paraId="253F5C4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Lim et al.</w:t>
            </w:r>
          </w:p>
        </w:tc>
        <w:tc>
          <w:tcPr>
            <w:tcW w:w="298" w:type="pct"/>
            <w:shd w:val="clear" w:color="auto" w:fill="auto"/>
            <w:vAlign w:val="center"/>
            <w:hideMark/>
          </w:tcPr>
          <w:p w14:paraId="0AC3B61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2022</w:t>
            </w:r>
          </w:p>
        </w:tc>
        <w:tc>
          <w:tcPr>
            <w:tcW w:w="353" w:type="pct"/>
            <w:shd w:val="clear" w:color="auto" w:fill="auto"/>
            <w:vAlign w:val="center"/>
            <w:hideMark/>
          </w:tcPr>
          <w:p w14:paraId="112D168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provide a decision support system for the automatic detection of glaucoma using fundus images, especially in areas with a high incidence of myopia.</w:t>
            </w:r>
          </w:p>
        </w:tc>
        <w:tc>
          <w:tcPr>
            <w:tcW w:w="246" w:type="pct"/>
            <w:shd w:val="clear" w:color="auto" w:fill="auto"/>
            <w:vAlign w:val="center"/>
            <w:hideMark/>
          </w:tcPr>
          <w:p w14:paraId="09C5024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667 / 1155 images</w:t>
            </w:r>
          </w:p>
        </w:tc>
        <w:tc>
          <w:tcPr>
            <w:tcW w:w="292" w:type="pct"/>
            <w:shd w:val="clear" w:color="auto" w:fill="auto"/>
            <w:vAlign w:val="center"/>
            <w:hideMark/>
          </w:tcPr>
          <w:p w14:paraId="65F5D04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45.3 ± 14.2; 45.7 ± 12.7; 51.8 ± 13.6</w:t>
            </w:r>
          </w:p>
        </w:tc>
        <w:tc>
          <w:tcPr>
            <w:tcW w:w="304" w:type="pct"/>
            <w:shd w:val="clear" w:color="auto" w:fill="auto"/>
            <w:vAlign w:val="center"/>
            <w:hideMark/>
          </w:tcPr>
          <w:p w14:paraId="22436C1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576 M: 578 F</w:t>
            </w:r>
          </w:p>
        </w:tc>
        <w:tc>
          <w:tcPr>
            <w:tcW w:w="349" w:type="pct"/>
            <w:shd w:val="clear" w:color="auto" w:fill="auto"/>
            <w:vAlign w:val="center"/>
            <w:hideMark/>
          </w:tcPr>
          <w:p w14:paraId="0F96685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High myopia, with axial length ≥ 26 mm </w:t>
            </w:r>
          </w:p>
        </w:tc>
        <w:tc>
          <w:tcPr>
            <w:tcW w:w="317" w:type="pct"/>
            <w:shd w:val="clear" w:color="auto" w:fill="auto"/>
            <w:vAlign w:val="center"/>
            <w:hideMark/>
          </w:tcPr>
          <w:p w14:paraId="182E0EC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Pre-perimetric glaucoma</w:t>
            </w:r>
          </w:p>
        </w:tc>
        <w:tc>
          <w:tcPr>
            <w:tcW w:w="310" w:type="pct"/>
            <w:shd w:val="clear" w:color="auto" w:fill="auto"/>
            <w:vAlign w:val="center"/>
            <w:hideMark/>
          </w:tcPr>
          <w:p w14:paraId="39FA9A9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Color fundus images</w:t>
            </w:r>
          </w:p>
        </w:tc>
        <w:tc>
          <w:tcPr>
            <w:tcW w:w="321" w:type="pct"/>
            <w:shd w:val="clear" w:color="auto" w:fill="auto"/>
            <w:vAlign w:val="center"/>
            <w:hideMark/>
          </w:tcPr>
          <w:p w14:paraId="5E09CE6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The </w:t>
            </w:r>
            <w:proofErr w:type="spellStart"/>
            <w:r w:rsidRPr="00641856">
              <w:rPr>
                <w:rFonts w:ascii="Times New Roman" w:eastAsia="Times New Roman" w:hAnsi="Times New Roman" w:cs="Times New Roman"/>
                <w:color w:val="000000"/>
                <w:sz w:val="24"/>
                <w:szCs w:val="24"/>
                <w:lang w:val="en-US"/>
              </w:rPr>
              <w:t>Xception</w:t>
            </w:r>
            <w:proofErr w:type="spellEnd"/>
            <w:r w:rsidRPr="00641856">
              <w:rPr>
                <w:rFonts w:ascii="Times New Roman" w:eastAsia="Times New Roman" w:hAnsi="Times New Roman" w:cs="Times New Roman"/>
                <w:color w:val="000000"/>
                <w:sz w:val="24"/>
                <w:szCs w:val="24"/>
                <w:lang w:val="en-US"/>
              </w:rPr>
              <w:t xml:space="preserve"> model achieved a 93.9% AUROC for glaucoma detection with 93.51% sensitivity for normal cases and 86.13% sensitivity for glaucoma cases</w:t>
            </w:r>
          </w:p>
        </w:tc>
        <w:tc>
          <w:tcPr>
            <w:tcW w:w="353" w:type="pct"/>
            <w:shd w:val="clear" w:color="auto" w:fill="auto"/>
            <w:vAlign w:val="center"/>
            <w:hideMark/>
          </w:tcPr>
          <w:p w14:paraId="394011B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The multimodal model with N + PPG and G groups showed high AUROCs and the test set demonstrated 3%–5% lower AUROCs compared to the validation results</w:t>
            </w:r>
          </w:p>
        </w:tc>
        <w:tc>
          <w:tcPr>
            <w:tcW w:w="347" w:type="pct"/>
            <w:shd w:val="clear" w:color="auto" w:fill="auto"/>
            <w:vAlign w:val="center"/>
            <w:hideMark/>
          </w:tcPr>
          <w:p w14:paraId="69F3B00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44B5F37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relatively small database, potential confounders, and variations in data distribution across age and axial length groups</w:t>
            </w:r>
          </w:p>
        </w:tc>
      </w:tr>
      <w:tr w:rsidR="00641856" w:rsidRPr="00641856" w14:paraId="660D1979" w14:textId="77777777" w:rsidTr="006073F2">
        <w:trPr>
          <w:trHeight w:val="1500"/>
        </w:trPr>
        <w:tc>
          <w:tcPr>
            <w:tcW w:w="206" w:type="pct"/>
            <w:shd w:val="clear" w:color="auto" w:fill="auto"/>
            <w:vAlign w:val="center"/>
            <w:hideMark/>
          </w:tcPr>
          <w:p w14:paraId="33C91BC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11</w:t>
            </w:r>
          </w:p>
        </w:tc>
        <w:tc>
          <w:tcPr>
            <w:tcW w:w="331" w:type="pct"/>
            <w:shd w:val="clear" w:color="auto" w:fill="auto"/>
            <w:vAlign w:val="center"/>
            <w:hideMark/>
          </w:tcPr>
          <w:p w14:paraId="453C0F0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Retrospective, comparative study</w:t>
            </w:r>
          </w:p>
        </w:tc>
        <w:tc>
          <w:tcPr>
            <w:tcW w:w="296" w:type="pct"/>
            <w:shd w:val="clear" w:color="auto" w:fill="auto"/>
            <w:vAlign w:val="center"/>
            <w:hideMark/>
          </w:tcPr>
          <w:p w14:paraId="2C19D9B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Nakano et al.</w:t>
            </w:r>
          </w:p>
        </w:tc>
        <w:tc>
          <w:tcPr>
            <w:tcW w:w="298" w:type="pct"/>
            <w:shd w:val="clear" w:color="auto" w:fill="auto"/>
            <w:vAlign w:val="center"/>
            <w:hideMark/>
          </w:tcPr>
          <w:p w14:paraId="76C2D8B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2013</w:t>
            </w:r>
          </w:p>
        </w:tc>
        <w:tc>
          <w:tcPr>
            <w:tcW w:w="353" w:type="pct"/>
            <w:shd w:val="clear" w:color="auto" w:fill="auto"/>
            <w:vAlign w:val="center"/>
            <w:hideMark/>
          </w:tcPr>
          <w:p w14:paraId="2C01A38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To compare evaluations of macular structures on spectral-domain optical coherence tomography with optic disc and circumpapillary retinal nerve </w:t>
            </w:r>
            <w:r w:rsidRPr="00641856">
              <w:rPr>
                <w:rFonts w:ascii="Times New Roman" w:eastAsia="Times New Roman" w:hAnsi="Times New Roman" w:cs="Times New Roman"/>
                <w:color w:val="000000"/>
                <w:sz w:val="24"/>
                <w:szCs w:val="24"/>
                <w:lang w:val="en-US"/>
              </w:rPr>
              <w:lastRenderedPageBreak/>
              <w:t>fiber layer (RNFL) assessments in discriminating between highly myopic eyes with and without glaucoma.</w:t>
            </w:r>
          </w:p>
        </w:tc>
        <w:tc>
          <w:tcPr>
            <w:tcW w:w="246" w:type="pct"/>
            <w:shd w:val="clear" w:color="auto" w:fill="auto"/>
            <w:vAlign w:val="center"/>
            <w:hideMark/>
          </w:tcPr>
          <w:p w14:paraId="55EB360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lastRenderedPageBreak/>
              <w:t>181 eyes</w:t>
            </w:r>
          </w:p>
        </w:tc>
        <w:tc>
          <w:tcPr>
            <w:tcW w:w="292" w:type="pct"/>
            <w:shd w:val="clear" w:color="auto" w:fill="auto"/>
            <w:vAlign w:val="center"/>
            <w:hideMark/>
          </w:tcPr>
          <w:p w14:paraId="3B83948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56.0 ± 10.2</w:t>
            </w:r>
          </w:p>
        </w:tc>
        <w:tc>
          <w:tcPr>
            <w:tcW w:w="304" w:type="pct"/>
            <w:shd w:val="clear" w:color="auto" w:fill="auto"/>
            <w:vAlign w:val="center"/>
            <w:hideMark/>
          </w:tcPr>
          <w:p w14:paraId="41E6333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42 M: 49 F</w:t>
            </w:r>
          </w:p>
        </w:tc>
        <w:tc>
          <w:tcPr>
            <w:tcW w:w="349" w:type="pct"/>
            <w:shd w:val="clear" w:color="auto" w:fill="auto"/>
            <w:vAlign w:val="center"/>
            <w:hideMark/>
          </w:tcPr>
          <w:p w14:paraId="3748CBC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Highly myopic eyes (&lt;L6 diopters) and non–highly myopic eyes (1.0 to L5.5 diopters)</w:t>
            </w:r>
          </w:p>
        </w:tc>
        <w:tc>
          <w:tcPr>
            <w:tcW w:w="317" w:type="pct"/>
            <w:shd w:val="clear" w:color="auto" w:fill="auto"/>
            <w:vAlign w:val="center"/>
            <w:hideMark/>
          </w:tcPr>
          <w:p w14:paraId="7EBF887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No specific type mentioned. </w:t>
            </w:r>
          </w:p>
        </w:tc>
        <w:tc>
          <w:tcPr>
            <w:tcW w:w="310" w:type="pct"/>
            <w:shd w:val="clear" w:color="auto" w:fill="auto"/>
            <w:vAlign w:val="center"/>
            <w:hideMark/>
          </w:tcPr>
          <w:p w14:paraId="14E2DC8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Spectralis macular scans (Heidelberg Engineering) and optic disc photographs; RTVue-100 (Optovue) </w:t>
            </w:r>
          </w:p>
        </w:tc>
        <w:tc>
          <w:tcPr>
            <w:tcW w:w="321" w:type="pct"/>
            <w:shd w:val="clear" w:color="auto" w:fill="auto"/>
            <w:vAlign w:val="center"/>
            <w:hideMark/>
          </w:tcPr>
          <w:p w14:paraId="5E33E45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In high myopes, observers’ assessments of the spectral-domain optical coherence tomography macular scans may </w:t>
            </w:r>
            <w:r w:rsidRPr="00641856">
              <w:rPr>
                <w:rFonts w:ascii="Times New Roman" w:eastAsia="Times New Roman" w:hAnsi="Times New Roman" w:cs="Times New Roman"/>
                <w:color w:val="000000"/>
                <w:sz w:val="24"/>
                <w:szCs w:val="24"/>
                <w:lang w:val="en-US"/>
              </w:rPr>
              <w:lastRenderedPageBreak/>
              <w:t>agree better and be more accurate than observers’ optic disc assessments</w:t>
            </w:r>
          </w:p>
        </w:tc>
        <w:tc>
          <w:tcPr>
            <w:tcW w:w="353" w:type="pct"/>
            <w:shd w:val="clear" w:color="auto" w:fill="auto"/>
            <w:vAlign w:val="center"/>
            <w:hideMark/>
          </w:tcPr>
          <w:p w14:paraId="07CCA72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lastRenderedPageBreak/>
              <w:t>Glaucoma diagnostic performance of the macular ganglion cell complex may be less affected by axial length compared with</w:t>
            </w:r>
            <w:r w:rsidRPr="00641856">
              <w:rPr>
                <w:rFonts w:ascii="Times New Roman" w:eastAsia="Times New Roman" w:hAnsi="Times New Roman" w:cs="Times New Roman"/>
                <w:color w:val="000000"/>
                <w:sz w:val="24"/>
                <w:szCs w:val="24"/>
                <w:lang w:val="en-US"/>
              </w:rPr>
              <w:br/>
              <w:t>that of circumpapillary RNFL</w:t>
            </w:r>
          </w:p>
        </w:tc>
        <w:tc>
          <w:tcPr>
            <w:tcW w:w="347" w:type="pct"/>
            <w:shd w:val="clear" w:color="auto" w:fill="auto"/>
            <w:vAlign w:val="center"/>
            <w:hideMark/>
          </w:tcPr>
          <w:p w14:paraId="5134E45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7529F79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w:t>
            </w:r>
          </w:p>
        </w:tc>
      </w:tr>
      <w:tr w:rsidR="00641856" w:rsidRPr="00641856" w14:paraId="6D9352D1" w14:textId="77777777" w:rsidTr="006073F2">
        <w:trPr>
          <w:trHeight w:val="1240"/>
        </w:trPr>
        <w:tc>
          <w:tcPr>
            <w:tcW w:w="206" w:type="pct"/>
            <w:shd w:val="clear" w:color="auto" w:fill="auto"/>
            <w:vAlign w:val="center"/>
            <w:hideMark/>
          </w:tcPr>
          <w:p w14:paraId="1F97364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12</w:t>
            </w:r>
          </w:p>
        </w:tc>
        <w:tc>
          <w:tcPr>
            <w:tcW w:w="331" w:type="pct"/>
            <w:shd w:val="clear" w:color="auto" w:fill="auto"/>
            <w:vAlign w:val="center"/>
            <w:hideMark/>
          </w:tcPr>
          <w:p w14:paraId="0709731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Retrospective study</w:t>
            </w:r>
          </w:p>
        </w:tc>
        <w:tc>
          <w:tcPr>
            <w:tcW w:w="296" w:type="pct"/>
            <w:shd w:val="clear" w:color="auto" w:fill="auto"/>
            <w:vAlign w:val="center"/>
            <w:hideMark/>
          </w:tcPr>
          <w:p w14:paraId="10922A6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Hung et al.</w:t>
            </w:r>
          </w:p>
        </w:tc>
        <w:tc>
          <w:tcPr>
            <w:tcW w:w="298" w:type="pct"/>
            <w:shd w:val="clear" w:color="auto" w:fill="auto"/>
            <w:vAlign w:val="center"/>
            <w:hideMark/>
          </w:tcPr>
          <w:p w14:paraId="527094F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2014</w:t>
            </w:r>
          </w:p>
        </w:tc>
        <w:tc>
          <w:tcPr>
            <w:tcW w:w="353" w:type="pct"/>
            <w:shd w:val="clear" w:color="auto" w:fill="auto"/>
            <w:vAlign w:val="center"/>
            <w:hideMark/>
          </w:tcPr>
          <w:p w14:paraId="440FBDB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assess macular parameters of glaucoma in highly myopic subjects.</w:t>
            </w:r>
          </w:p>
        </w:tc>
        <w:tc>
          <w:tcPr>
            <w:tcW w:w="246" w:type="pct"/>
            <w:shd w:val="clear" w:color="auto" w:fill="auto"/>
            <w:vAlign w:val="center"/>
            <w:hideMark/>
          </w:tcPr>
          <w:p w14:paraId="2AEEFF1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72 eyes</w:t>
            </w:r>
          </w:p>
        </w:tc>
        <w:tc>
          <w:tcPr>
            <w:tcW w:w="292" w:type="pct"/>
            <w:shd w:val="clear" w:color="auto" w:fill="auto"/>
            <w:vAlign w:val="center"/>
            <w:hideMark/>
          </w:tcPr>
          <w:p w14:paraId="2DBCB96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35.0 ± 9.3; 37.1 ± 6.3</w:t>
            </w:r>
          </w:p>
        </w:tc>
        <w:tc>
          <w:tcPr>
            <w:tcW w:w="304" w:type="pct"/>
            <w:shd w:val="clear" w:color="auto" w:fill="auto"/>
            <w:vAlign w:val="center"/>
            <w:hideMark/>
          </w:tcPr>
          <w:p w14:paraId="3C213FB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51 M: 21 F</w:t>
            </w:r>
          </w:p>
        </w:tc>
        <w:tc>
          <w:tcPr>
            <w:tcW w:w="349" w:type="pct"/>
            <w:shd w:val="clear" w:color="auto" w:fill="auto"/>
            <w:vAlign w:val="center"/>
            <w:hideMark/>
          </w:tcPr>
          <w:p w14:paraId="629547A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Highly myopic eyes (spherical equivalent up to -6.00 D)</w:t>
            </w:r>
          </w:p>
        </w:tc>
        <w:tc>
          <w:tcPr>
            <w:tcW w:w="317" w:type="pct"/>
            <w:shd w:val="clear" w:color="auto" w:fill="auto"/>
            <w:vAlign w:val="center"/>
            <w:hideMark/>
          </w:tcPr>
          <w:p w14:paraId="13EA05F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Early to moderate glaucoma</w:t>
            </w:r>
          </w:p>
        </w:tc>
        <w:tc>
          <w:tcPr>
            <w:tcW w:w="310" w:type="pct"/>
            <w:shd w:val="clear" w:color="auto" w:fill="auto"/>
            <w:vAlign w:val="center"/>
            <w:hideMark/>
          </w:tcPr>
          <w:p w14:paraId="13F4A99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Stratus optical coherence tomography</w:t>
            </w:r>
          </w:p>
        </w:tc>
        <w:tc>
          <w:tcPr>
            <w:tcW w:w="321" w:type="pct"/>
            <w:shd w:val="clear" w:color="auto" w:fill="auto"/>
            <w:vAlign w:val="center"/>
            <w:hideMark/>
          </w:tcPr>
          <w:p w14:paraId="2C1A777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Measuring the macular volume in the outer inferior region is a key indicator for diagnosing glaucoma in highly myopic individuals</w:t>
            </w:r>
          </w:p>
        </w:tc>
        <w:tc>
          <w:tcPr>
            <w:tcW w:w="353" w:type="pct"/>
            <w:shd w:val="clear" w:color="auto" w:fill="auto"/>
            <w:vAlign w:val="center"/>
            <w:hideMark/>
          </w:tcPr>
          <w:p w14:paraId="0E66153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Macular outer inferior average thickness and volume parameters has strong discriminatory ability for early to moderate glaucoma in highly myopic eyes.</w:t>
            </w:r>
          </w:p>
        </w:tc>
        <w:tc>
          <w:tcPr>
            <w:tcW w:w="347" w:type="pct"/>
            <w:shd w:val="clear" w:color="auto" w:fill="auto"/>
            <w:vAlign w:val="center"/>
            <w:hideMark/>
          </w:tcPr>
          <w:p w14:paraId="7D493BB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7D84E00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No evaluation of axial length values; use of D-OCT device</w:t>
            </w:r>
          </w:p>
        </w:tc>
      </w:tr>
      <w:tr w:rsidR="00641856" w:rsidRPr="00641856" w14:paraId="70F099E2" w14:textId="77777777" w:rsidTr="006073F2">
        <w:trPr>
          <w:trHeight w:val="4340"/>
        </w:trPr>
        <w:tc>
          <w:tcPr>
            <w:tcW w:w="206" w:type="pct"/>
            <w:shd w:val="clear" w:color="auto" w:fill="auto"/>
            <w:vAlign w:val="center"/>
            <w:hideMark/>
          </w:tcPr>
          <w:p w14:paraId="47DD19E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13</w:t>
            </w:r>
          </w:p>
        </w:tc>
        <w:tc>
          <w:tcPr>
            <w:tcW w:w="331" w:type="pct"/>
            <w:shd w:val="clear" w:color="auto" w:fill="auto"/>
            <w:vAlign w:val="center"/>
            <w:hideMark/>
          </w:tcPr>
          <w:p w14:paraId="0836B39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Cross-sectional analysis</w:t>
            </w:r>
          </w:p>
        </w:tc>
        <w:tc>
          <w:tcPr>
            <w:tcW w:w="296" w:type="pct"/>
            <w:shd w:val="clear" w:color="auto" w:fill="auto"/>
            <w:vAlign w:val="center"/>
            <w:hideMark/>
          </w:tcPr>
          <w:p w14:paraId="359576F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Park et al.</w:t>
            </w:r>
          </w:p>
        </w:tc>
        <w:tc>
          <w:tcPr>
            <w:tcW w:w="298" w:type="pct"/>
            <w:shd w:val="clear" w:color="auto" w:fill="auto"/>
            <w:vAlign w:val="center"/>
            <w:hideMark/>
          </w:tcPr>
          <w:p w14:paraId="4200940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2012</w:t>
            </w:r>
          </w:p>
        </w:tc>
        <w:tc>
          <w:tcPr>
            <w:tcW w:w="353" w:type="pct"/>
            <w:shd w:val="clear" w:color="auto" w:fill="auto"/>
            <w:vAlign w:val="center"/>
            <w:hideMark/>
          </w:tcPr>
          <w:p w14:paraId="2B3C9FC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assess the deep optic nerve complex (ONC) structures in glaucoma using enhanced depth imaging (EDI) optical coherence tomography (OCT).</w:t>
            </w:r>
          </w:p>
        </w:tc>
        <w:tc>
          <w:tcPr>
            <w:tcW w:w="246" w:type="pct"/>
            <w:shd w:val="clear" w:color="auto" w:fill="auto"/>
            <w:vAlign w:val="center"/>
            <w:hideMark/>
          </w:tcPr>
          <w:p w14:paraId="4FCA3BB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73 / 139; 49 eyes in final analysis</w:t>
            </w:r>
          </w:p>
        </w:tc>
        <w:tc>
          <w:tcPr>
            <w:tcW w:w="292" w:type="pct"/>
            <w:shd w:val="clear" w:color="auto" w:fill="auto"/>
            <w:vAlign w:val="center"/>
            <w:hideMark/>
          </w:tcPr>
          <w:p w14:paraId="1C6255B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61 ± 16 (18-84)</w:t>
            </w:r>
          </w:p>
        </w:tc>
        <w:tc>
          <w:tcPr>
            <w:tcW w:w="304" w:type="pct"/>
            <w:shd w:val="clear" w:color="auto" w:fill="auto"/>
            <w:vAlign w:val="center"/>
            <w:hideMark/>
          </w:tcPr>
          <w:p w14:paraId="0380279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45 M: 28 F</w:t>
            </w:r>
          </w:p>
        </w:tc>
        <w:tc>
          <w:tcPr>
            <w:tcW w:w="349" w:type="pct"/>
            <w:shd w:val="clear" w:color="auto" w:fill="auto"/>
            <w:vAlign w:val="center"/>
            <w:hideMark/>
          </w:tcPr>
          <w:p w14:paraId="667B0C2A"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 myopia</w:t>
            </w:r>
          </w:p>
        </w:tc>
        <w:tc>
          <w:tcPr>
            <w:tcW w:w="317" w:type="pct"/>
            <w:shd w:val="clear" w:color="auto" w:fill="auto"/>
            <w:vAlign w:val="center"/>
            <w:hideMark/>
          </w:tcPr>
          <w:p w14:paraId="198E985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Primary open-angle glaucoma, exfoliative glaucoma, pigmentary glaucoma, chronic angle-closure glaucoma, uveitic glaucoma, and traumatic glaucoma</w:t>
            </w:r>
          </w:p>
        </w:tc>
        <w:tc>
          <w:tcPr>
            <w:tcW w:w="310" w:type="pct"/>
            <w:shd w:val="clear" w:color="auto" w:fill="auto"/>
            <w:vAlign w:val="center"/>
            <w:hideMark/>
          </w:tcPr>
          <w:p w14:paraId="0E7685A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Enhanced depth imaging (EDI) optical coherence tomography (OCT) </w:t>
            </w:r>
          </w:p>
        </w:tc>
        <w:tc>
          <w:tcPr>
            <w:tcW w:w="674" w:type="pct"/>
            <w:gridSpan w:val="2"/>
            <w:shd w:val="clear" w:color="auto" w:fill="auto"/>
            <w:vAlign w:val="center"/>
            <w:hideMark/>
          </w:tcPr>
          <w:p w14:paraId="73F2989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lamina cribrosa, short posterior ciliary artery, central retinal artery and vein, and other associated structures were visualized.</w:t>
            </w:r>
          </w:p>
        </w:tc>
        <w:tc>
          <w:tcPr>
            <w:tcW w:w="347" w:type="pct"/>
            <w:shd w:val="clear" w:color="auto" w:fill="auto"/>
            <w:vAlign w:val="center"/>
            <w:hideMark/>
          </w:tcPr>
          <w:p w14:paraId="3CD567F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62018FA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Need for patient cooperation during image acquisition, time-consuming procedures.</w:t>
            </w:r>
          </w:p>
        </w:tc>
      </w:tr>
      <w:tr w:rsidR="00641856" w:rsidRPr="00641856" w14:paraId="11A1EB60" w14:textId="77777777" w:rsidTr="006073F2">
        <w:trPr>
          <w:trHeight w:val="3410"/>
        </w:trPr>
        <w:tc>
          <w:tcPr>
            <w:tcW w:w="206" w:type="pct"/>
            <w:shd w:val="clear" w:color="auto" w:fill="auto"/>
            <w:vAlign w:val="center"/>
            <w:hideMark/>
          </w:tcPr>
          <w:p w14:paraId="594C775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14</w:t>
            </w:r>
          </w:p>
        </w:tc>
        <w:tc>
          <w:tcPr>
            <w:tcW w:w="331" w:type="pct"/>
            <w:shd w:val="clear" w:color="auto" w:fill="auto"/>
            <w:vAlign w:val="center"/>
            <w:hideMark/>
          </w:tcPr>
          <w:p w14:paraId="658B821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Retrospective cohort study</w:t>
            </w:r>
          </w:p>
        </w:tc>
        <w:tc>
          <w:tcPr>
            <w:tcW w:w="296" w:type="pct"/>
            <w:shd w:val="clear" w:color="auto" w:fill="auto"/>
            <w:vAlign w:val="center"/>
            <w:hideMark/>
          </w:tcPr>
          <w:p w14:paraId="340AE115"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Yamada et al.</w:t>
            </w:r>
          </w:p>
        </w:tc>
        <w:tc>
          <w:tcPr>
            <w:tcW w:w="298" w:type="pct"/>
            <w:shd w:val="clear" w:color="auto" w:fill="auto"/>
            <w:vAlign w:val="center"/>
            <w:hideMark/>
          </w:tcPr>
          <w:p w14:paraId="2069C0F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2016</w:t>
            </w:r>
          </w:p>
        </w:tc>
        <w:tc>
          <w:tcPr>
            <w:tcW w:w="353" w:type="pct"/>
            <w:shd w:val="clear" w:color="auto" w:fill="auto"/>
            <w:vAlign w:val="center"/>
            <w:hideMark/>
          </w:tcPr>
          <w:p w14:paraId="141C918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investigate the relationship between the microstructure of b-zone peripapillary atrophy (PPA) and visual field (VF) progression in eyes with primary open-</w:t>
            </w:r>
            <w:r w:rsidRPr="00641856">
              <w:rPr>
                <w:rFonts w:ascii="Times New Roman" w:eastAsia="Times New Roman" w:hAnsi="Times New Roman" w:cs="Times New Roman"/>
                <w:color w:val="000000"/>
                <w:sz w:val="24"/>
                <w:szCs w:val="24"/>
                <w:lang w:val="en-US"/>
              </w:rPr>
              <w:lastRenderedPageBreak/>
              <w:t>angle glaucoma (POAG), including highly myopic eyes.</w:t>
            </w:r>
          </w:p>
        </w:tc>
        <w:tc>
          <w:tcPr>
            <w:tcW w:w="246" w:type="pct"/>
            <w:shd w:val="clear" w:color="auto" w:fill="auto"/>
            <w:vAlign w:val="center"/>
            <w:hideMark/>
          </w:tcPr>
          <w:p w14:paraId="2706F08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lastRenderedPageBreak/>
              <w:t>129 patients</w:t>
            </w:r>
          </w:p>
        </w:tc>
        <w:tc>
          <w:tcPr>
            <w:tcW w:w="292" w:type="pct"/>
            <w:shd w:val="clear" w:color="auto" w:fill="auto"/>
            <w:vAlign w:val="center"/>
            <w:hideMark/>
          </w:tcPr>
          <w:p w14:paraId="5046761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 64.4± 12.2 (35-84); 60.0± 12.1 (32-87); 53.3± 9.8 (30-65)</w:t>
            </w:r>
          </w:p>
        </w:tc>
        <w:tc>
          <w:tcPr>
            <w:tcW w:w="304" w:type="pct"/>
            <w:shd w:val="clear" w:color="auto" w:fill="auto"/>
            <w:vAlign w:val="center"/>
            <w:hideMark/>
          </w:tcPr>
          <w:p w14:paraId="3A2DEEC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67 M: 62 F</w:t>
            </w:r>
          </w:p>
        </w:tc>
        <w:tc>
          <w:tcPr>
            <w:tcW w:w="349" w:type="pct"/>
            <w:shd w:val="clear" w:color="auto" w:fill="auto"/>
            <w:vAlign w:val="center"/>
            <w:hideMark/>
          </w:tcPr>
          <w:p w14:paraId="0F2F3E7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High myopia</w:t>
            </w:r>
          </w:p>
        </w:tc>
        <w:tc>
          <w:tcPr>
            <w:tcW w:w="317" w:type="pct"/>
            <w:shd w:val="clear" w:color="auto" w:fill="auto"/>
            <w:vAlign w:val="center"/>
            <w:hideMark/>
          </w:tcPr>
          <w:p w14:paraId="227CF93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Primary open-angle glaucoma</w:t>
            </w:r>
          </w:p>
        </w:tc>
        <w:tc>
          <w:tcPr>
            <w:tcW w:w="310" w:type="pct"/>
            <w:shd w:val="clear" w:color="auto" w:fill="auto"/>
            <w:vAlign w:val="center"/>
            <w:hideMark/>
          </w:tcPr>
          <w:p w14:paraId="2F7232A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Spectral-domain (SD) optical coherence tomography (OCT)</w:t>
            </w:r>
          </w:p>
        </w:tc>
        <w:tc>
          <w:tcPr>
            <w:tcW w:w="321" w:type="pct"/>
            <w:shd w:val="clear" w:color="auto" w:fill="auto"/>
            <w:vAlign w:val="center"/>
            <w:hideMark/>
          </w:tcPr>
          <w:p w14:paraId="4B0D67C3"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The VF progression was faster in eyes with </w:t>
            </w:r>
            <w:proofErr w:type="spellStart"/>
            <w:r w:rsidRPr="00641856">
              <w:rPr>
                <w:rFonts w:ascii="Times New Roman" w:eastAsia="Times New Roman" w:hAnsi="Times New Roman" w:cs="Times New Roman"/>
                <w:color w:val="000000"/>
                <w:sz w:val="24"/>
                <w:szCs w:val="24"/>
                <w:lang w:val="en-US"/>
              </w:rPr>
              <w:t>PPAþBM</w:t>
            </w:r>
            <w:proofErr w:type="spellEnd"/>
            <w:r w:rsidRPr="00641856">
              <w:rPr>
                <w:rFonts w:ascii="Times New Roman" w:eastAsia="Times New Roman" w:hAnsi="Times New Roman" w:cs="Times New Roman"/>
                <w:color w:val="000000"/>
                <w:sz w:val="24"/>
                <w:szCs w:val="24"/>
                <w:lang w:val="en-US"/>
              </w:rPr>
              <w:t xml:space="preserve"> (group A) compared to eyes with PPA-BM (group C). </w:t>
            </w:r>
          </w:p>
        </w:tc>
        <w:tc>
          <w:tcPr>
            <w:tcW w:w="353" w:type="pct"/>
            <w:shd w:val="clear" w:color="auto" w:fill="auto"/>
            <w:vAlign w:val="center"/>
            <w:hideMark/>
          </w:tcPr>
          <w:p w14:paraId="5C5287CB"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Larger </w:t>
            </w:r>
            <w:proofErr w:type="spellStart"/>
            <w:r w:rsidRPr="00641856">
              <w:rPr>
                <w:rFonts w:ascii="Times New Roman" w:eastAsia="Times New Roman" w:hAnsi="Times New Roman" w:cs="Times New Roman"/>
                <w:color w:val="000000"/>
                <w:sz w:val="24"/>
                <w:szCs w:val="24"/>
                <w:lang w:val="en-US"/>
              </w:rPr>
              <w:t>PPAþBM</w:t>
            </w:r>
            <w:proofErr w:type="spellEnd"/>
            <w:r w:rsidRPr="00641856">
              <w:rPr>
                <w:rFonts w:ascii="Times New Roman" w:eastAsia="Times New Roman" w:hAnsi="Times New Roman" w:cs="Times New Roman"/>
                <w:color w:val="000000"/>
                <w:sz w:val="24"/>
                <w:szCs w:val="24"/>
                <w:lang w:val="en-US"/>
              </w:rPr>
              <w:t xml:space="preserve"> width was associated with a faster mean deviation slope in all eyes, while larger PPA-BM was correlated with a slower slope in all eyes but </w:t>
            </w:r>
            <w:r w:rsidRPr="00641856">
              <w:rPr>
                <w:rFonts w:ascii="Times New Roman" w:eastAsia="Times New Roman" w:hAnsi="Times New Roman" w:cs="Times New Roman"/>
                <w:color w:val="000000"/>
                <w:sz w:val="24"/>
                <w:szCs w:val="24"/>
                <w:lang w:val="en-US"/>
              </w:rPr>
              <w:lastRenderedPageBreak/>
              <w:t>not in highly myopic eyes.</w:t>
            </w:r>
          </w:p>
        </w:tc>
        <w:tc>
          <w:tcPr>
            <w:tcW w:w="347" w:type="pct"/>
            <w:shd w:val="clear" w:color="auto" w:fill="auto"/>
            <w:vAlign w:val="center"/>
            <w:hideMark/>
          </w:tcPr>
          <w:p w14:paraId="65305C6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lastRenderedPageBreak/>
              <w:t>NR</w:t>
            </w:r>
          </w:p>
        </w:tc>
        <w:tc>
          <w:tcPr>
            <w:tcW w:w="676" w:type="pct"/>
            <w:shd w:val="clear" w:color="auto" w:fill="auto"/>
            <w:vAlign w:val="center"/>
            <w:hideMark/>
          </w:tcPr>
          <w:p w14:paraId="0B5687BC"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w:t>
            </w:r>
          </w:p>
        </w:tc>
      </w:tr>
      <w:tr w:rsidR="00641856" w:rsidRPr="00641856" w14:paraId="0D50D2D2" w14:textId="77777777" w:rsidTr="006073F2">
        <w:trPr>
          <w:trHeight w:val="1240"/>
        </w:trPr>
        <w:tc>
          <w:tcPr>
            <w:tcW w:w="206" w:type="pct"/>
            <w:shd w:val="clear" w:color="auto" w:fill="auto"/>
            <w:vAlign w:val="center"/>
            <w:hideMark/>
          </w:tcPr>
          <w:p w14:paraId="0BCF7E9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15</w:t>
            </w:r>
          </w:p>
        </w:tc>
        <w:tc>
          <w:tcPr>
            <w:tcW w:w="331" w:type="pct"/>
            <w:shd w:val="clear" w:color="auto" w:fill="auto"/>
            <w:vAlign w:val="center"/>
            <w:hideMark/>
          </w:tcPr>
          <w:p w14:paraId="32375F76"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Prospective observational study</w:t>
            </w:r>
          </w:p>
        </w:tc>
        <w:tc>
          <w:tcPr>
            <w:tcW w:w="296" w:type="pct"/>
            <w:shd w:val="clear" w:color="auto" w:fill="auto"/>
            <w:vAlign w:val="center"/>
            <w:hideMark/>
          </w:tcPr>
          <w:p w14:paraId="11560318"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proofErr w:type="spellStart"/>
            <w:r w:rsidRPr="00641856">
              <w:rPr>
                <w:rFonts w:ascii="Times New Roman" w:eastAsia="Times New Roman" w:hAnsi="Times New Roman" w:cs="Times New Roman"/>
                <w:color w:val="000000"/>
                <w:sz w:val="24"/>
                <w:szCs w:val="24"/>
                <w:lang w:val="en-US"/>
              </w:rPr>
              <w:t>Awadalla</w:t>
            </w:r>
            <w:proofErr w:type="spellEnd"/>
            <w:r w:rsidRPr="00641856">
              <w:rPr>
                <w:rFonts w:ascii="Times New Roman" w:eastAsia="Times New Roman" w:hAnsi="Times New Roman" w:cs="Times New Roman"/>
                <w:color w:val="000000"/>
                <w:sz w:val="24"/>
                <w:szCs w:val="24"/>
                <w:lang w:val="en-US"/>
              </w:rPr>
              <w:t xml:space="preserve"> et al.</w:t>
            </w:r>
          </w:p>
        </w:tc>
        <w:tc>
          <w:tcPr>
            <w:tcW w:w="298" w:type="pct"/>
            <w:shd w:val="clear" w:color="auto" w:fill="auto"/>
            <w:vAlign w:val="center"/>
            <w:hideMark/>
          </w:tcPr>
          <w:p w14:paraId="2BC15F4D"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2018</w:t>
            </w:r>
          </w:p>
        </w:tc>
        <w:tc>
          <w:tcPr>
            <w:tcW w:w="353" w:type="pct"/>
            <w:shd w:val="clear" w:color="auto" w:fill="auto"/>
            <w:vAlign w:val="center"/>
            <w:hideMark/>
          </w:tcPr>
          <w:p w14:paraId="3471CD90"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To determine the frequency of scan artifacts and errors in macular ganglion cell-inner plexiform layer (GCIPL) imaging using CIRRUS HD-OCT in individuals undergoing surveillance for glaucoma.</w:t>
            </w:r>
          </w:p>
        </w:tc>
        <w:tc>
          <w:tcPr>
            <w:tcW w:w="246" w:type="pct"/>
            <w:shd w:val="clear" w:color="auto" w:fill="auto"/>
            <w:vAlign w:val="center"/>
            <w:hideMark/>
          </w:tcPr>
          <w:p w14:paraId="0CE7D6D2"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721 / 1439</w:t>
            </w:r>
          </w:p>
        </w:tc>
        <w:tc>
          <w:tcPr>
            <w:tcW w:w="292" w:type="pct"/>
            <w:shd w:val="clear" w:color="auto" w:fill="auto"/>
            <w:vAlign w:val="center"/>
            <w:hideMark/>
          </w:tcPr>
          <w:p w14:paraId="3528F10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64.7 (SD 10.1)</w:t>
            </w:r>
          </w:p>
        </w:tc>
        <w:tc>
          <w:tcPr>
            <w:tcW w:w="304" w:type="pct"/>
            <w:shd w:val="clear" w:color="auto" w:fill="auto"/>
            <w:vAlign w:val="center"/>
            <w:hideMark/>
          </w:tcPr>
          <w:p w14:paraId="7EB3A954"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310 M: 411 F</w:t>
            </w:r>
          </w:p>
        </w:tc>
        <w:tc>
          <w:tcPr>
            <w:tcW w:w="349" w:type="pct"/>
            <w:shd w:val="clear" w:color="auto" w:fill="auto"/>
            <w:vAlign w:val="center"/>
            <w:hideMark/>
          </w:tcPr>
          <w:p w14:paraId="4D73EB2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High myopia </w:t>
            </w:r>
          </w:p>
        </w:tc>
        <w:tc>
          <w:tcPr>
            <w:tcW w:w="317" w:type="pct"/>
            <w:shd w:val="clear" w:color="auto" w:fill="auto"/>
            <w:vAlign w:val="center"/>
            <w:hideMark/>
          </w:tcPr>
          <w:p w14:paraId="7311503E"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 xml:space="preserve">No specific type mentioned. </w:t>
            </w:r>
          </w:p>
        </w:tc>
        <w:tc>
          <w:tcPr>
            <w:tcW w:w="310" w:type="pct"/>
            <w:shd w:val="clear" w:color="auto" w:fill="auto"/>
            <w:vAlign w:val="center"/>
            <w:hideMark/>
          </w:tcPr>
          <w:p w14:paraId="7A405E3F"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CIRRUS HD-OCT</w:t>
            </w:r>
          </w:p>
        </w:tc>
        <w:tc>
          <w:tcPr>
            <w:tcW w:w="321" w:type="pct"/>
            <w:shd w:val="clear" w:color="auto" w:fill="auto"/>
            <w:vAlign w:val="center"/>
            <w:hideMark/>
          </w:tcPr>
          <w:p w14:paraId="126C7D5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A small percentage of scans had artifacts or errors</w:t>
            </w:r>
          </w:p>
        </w:tc>
        <w:tc>
          <w:tcPr>
            <w:tcW w:w="353" w:type="pct"/>
            <w:shd w:val="clear" w:color="auto" w:fill="auto"/>
            <w:vAlign w:val="center"/>
            <w:hideMark/>
          </w:tcPr>
          <w:p w14:paraId="67104B97"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The most common co-morbid macular pathology was epiretinal membrane in 2.2% of the eyes included in the study.</w:t>
            </w:r>
          </w:p>
        </w:tc>
        <w:tc>
          <w:tcPr>
            <w:tcW w:w="347" w:type="pct"/>
            <w:shd w:val="clear" w:color="auto" w:fill="auto"/>
            <w:vAlign w:val="center"/>
            <w:hideMark/>
          </w:tcPr>
          <w:p w14:paraId="7730BE69"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NR</w:t>
            </w:r>
          </w:p>
        </w:tc>
        <w:tc>
          <w:tcPr>
            <w:tcW w:w="676" w:type="pct"/>
            <w:shd w:val="clear" w:color="auto" w:fill="auto"/>
            <w:vAlign w:val="center"/>
            <w:hideMark/>
          </w:tcPr>
          <w:p w14:paraId="2405CB31" w14:textId="77777777" w:rsidR="00641856" w:rsidRPr="00641856" w:rsidRDefault="00641856" w:rsidP="00641856">
            <w:pPr>
              <w:spacing w:after="0" w:line="240" w:lineRule="auto"/>
              <w:rPr>
                <w:rFonts w:ascii="Times New Roman" w:eastAsia="Times New Roman" w:hAnsi="Times New Roman" w:cs="Times New Roman"/>
                <w:color w:val="000000"/>
                <w:sz w:val="24"/>
                <w:szCs w:val="24"/>
                <w:lang w:val="en-US"/>
              </w:rPr>
            </w:pPr>
            <w:r w:rsidRPr="00641856">
              <w:rPr>
                <w:rFonts w:ascii="Times New Roman" w:eastAsia="Times New Roman" w:hAnsi="Times New Roman" w:cs="Times New Roman"/>
                <w:color w:val="000000"/>
                <w:sz w:val="24"/>
                <w:szCs w:val="24"/>
                <w:lang w:val="en-US"/>
              </w:rPr>
              <w:t>NA</w:t>
            </w:r>
          </w:p>
        </w:tc>
      </w:tr>
    </w:tbl>
    <w:p w14:paraId="70B488B8" w14:textId="6E736299" w:rsidR="00553946" w:rsidRPr="00271E9B" w:rsidRDefault="00271E9B">
      <w:pPr>
        <w:rPr>
          <w:rFonts w:ascii="Times New Roman" w:hAnsi="Times New Roman" w:cs="Times New Roman"/>
        </w:rPr>
      </w:pPr>
      <w:r w:rsidRPr="00474B6B">
        <w:rPr>
          <w:rFonts w:ascii="Times New Roman" w:hAnsi="Times New Roman" w:cs="Times New Roman"/>
          <w:b/>
          <w:bCs/>
        </w:rPr>
        <w:t>Appendix 3</w:t>
      </w:r>
      <w:r w:rsidRPr="00271E9B">
        <w:rPr>
          <w:rFonts w:ascii="Times New Roman" w:hAnsi="Times New Roman" w:cs="Times New Roman"/>
        </w:rPr>
        <w:t>. Supplementary file. Data extraction</w:t>
      </w:r>
    </w:p>
    <w:sectPr w:rsidR="00553946" w:rsidRPr="00271E9B" w:rsidSect="001405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4"/>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TO0NLE0MjcyMjaxNDZW0lEKTi0uzszPAykwrAUADGjfCiwAAAA="/>
  </w:docVars>
  <w:rsids>
    <w:rsidRoot w:val="00641856"/>
    <w:rsid w:val="000311BF"/>
    <w:rsid w:val="001405D5"/>
    <w:rsid w:val="00271E9B"/>
    <w:rsid w:val="00474B6B"/>
    <w:rsid w:val="0050615C"/>
    <w:rsid w:val="00553946"/>
    <w:rsid w:val="006073F2"/>
    <w:rsid w:val="00641856"/>
    <w:rsid w:val="00663525"/>
    <w:rsid w:val="006A6B48"/>
    <w:rsid w:val="006C1CA8"/>
    <w:rsid w:val="00C2178D"/>
    <w:rsid w:val="00C73034"/>
    <w:rsid w:val="00E142E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ECB9A"/>
  <w15:docId w15:val="{6594ECC0-F550-DB42-BB82-ADF32171B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94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74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1744</Words>
  <Characters>9595</Characters>
  <Application>Microsoft Office Word</Application>
  <DocSecurity>0</DocSecurity>
  <Lines>79</Lines>
  <Paragraphs>22</Paragraphs>
  <ScaleCrop>false</ScaleCrop>
  <Company>HP</Company>
  <LinksUpToDate>false</LinksUpToDate>
  <CharactersWithSpaces>11317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Editor</dc:creator>
  <cp:lastModifiedBy>Miguel Angel Quiroz Reyes</cp:lastModifiedBy>
  <cp:revision>5</cp:revision>
  <dcterms:created xsi:type="dcterms:W3CDTF">2024-03-29T14:08:00Z</dcterms:created>
  <dcterms:modified xsi:type="dcterms:W3CDTF">2024-05-01T19:04:00Z</dcterms:modified>
</cp:coreProperties>
</file>