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0B58" w:rsidRDefault="00444A57">
      <w:pPr>
        <w:rPr>
          <w:rFonts w:ascii="Times New Roman" w:hAnsi="Times New Roman" w:cs="Times New Roman"/>
          <w:b/>
          <w:bCs/>
          <w:lang w:eastAsia="ja-JP"/>
        </w:rPr>
      </w:pPr>
      <w:r w:rsidRPr="003B59D9">
        <w:rPr>
          <w:rFonts w:ascii="Times New Roman" w:hAnsi="Times New Roman" w:cs="Times New Roman" w:hint="cs"/>
          <w:b/>
          <w:bCs/>
          <w:lang w:eastAsia="ja-JP"/>
        </w:rPr>
        <w:t>S</w:t>
      </w:r>
      <w:r w:rsidRPr="003B59D9">
        <w:rPr>
          <w:rFonts w:ascii="Times New Roman" w:hAnsi="Times New Roman" w:cs="Times New Roman"/>
          <w:b/>
          <w:bCs/>
          <w:lang w:eastAsia="ja-JP"/>
        </w:rPr>
        <w:t>upplementa</w:t>
      </w:r>
      <w:r w:rsidR="00AC6E20">
        <w:rPr>
          <w:rFonts w:ascii="Times New Roman" w:hAnsi="Times New Roman" w:cs="Times New Roman"/>
          <w:b/>
          <w:bCs/>
          <w:lang w:eastAsia="ja-JP"/>
        </w:rPr>
        <w:t>ry Information</w:t>
      </w:r>
    </w:p>
    <w:p w:rsidR="00AC6E20" w:rsidRDefault="00AC6E20">
      <w:pPr>
        <w:rPr>
          <w:rFonts w:ascii="Times New Roman" w:hAnsi="Times New Roman" w:cs="Times New Roman"/>
          <w:b/>
          <w:bCs/>
          <w:lang w:eastAsia="ja-JP"/>
        </w:rPr>
      </w:pPr>
    </w:p>
    <w:p w:rsidR="00AC6E20" w:rsidRPr="003B59D9" w:rsidRDefault="00AC6E20">
      <w:pPr>
        <w:rPr>
          <w:rFonts w:ascii="Times New Roman" w:hAnsi="Times New Roman" w:cs="Times New Roman"/>
          <w:b/>
          <w:bCs/>
          <w:lang w:eastAsia="ja-JP"/>
        </w:rPr>
      </w:pPr>
      <w:r>
        <w:rPr>
          <w:rFonts w:ascii="Times New Roman" w:hAnsi="Times New Roman" w:cs="Times New Roman" w:hint="eastAsia"/>
          <w:b/>
          <w:bCs/>
          <w:lang w:eastAsia="ja-JP"/>
        </w:rPr>
        <w:t>T</w:t>
      </w:r>
      <w:r>
        <w:rPr>
          <w:rFonts w:ascii="Times New Roman" w:hAnsi="Times New Roman" w:cs="Times New Roman"/>
          <w:b/>
          <w:bCs/>
          <w:lang w:eastAsia="ja-JP"/>
        </w:rPr>
        <w:t>able S1. Antibodies used in this study.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6"/>
        <w:gridCol w:w="1984"/>
        <w:gridCol w:w="1070"/>
        <w:gridCol w:w="1765"/>
        <w:gridCol w:w="2126"/>
      </w:tblGrid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Antigen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Company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Catalogue#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Dilution (immunofluorescence)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Dilution (western blotting)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RIP3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NOVUS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NBP1-77299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MLKL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Sigma-Aldrich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SAB1302339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p-MLKL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Abcam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ab196436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Acrolein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NOF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N213320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GPx4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  <w:t>established by Imai H.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GAPDH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Wako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016-25523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 for insoluble fraction, 1:10000 for other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samples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ZO-1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Thermo</w:t>
            </w:r>
            <w:proofErr w:type="spellEnd"/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Fisher Scientific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61-7300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1:400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Santa-Cruz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sc-66190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1:600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C3b/iC3b/C3c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Hycult</w:t>
            </w:r>
            <w:proofErr w:type="spellEnd"/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HM-1065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Iba1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wako</w:t>
            </w:r>
            <w:proofErr w:type="spellEnd"/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019-19741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F4/80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Biorad</w:t>
            </w:r>
            <w:proofErr w:type="spellEnd"/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MCA-497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cleaved-caspase 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Cell Signaling Technology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8592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Cre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Merck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MAB3120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1:1000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Anti-mouse IgG, HRP-linked Antibody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Cell Signaling Technology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7076S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1:3000~1:6000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Anti-rabbit IgG, HRP-linked Antibody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Cell Signaling Technology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7074S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1:3000~1:6000</w:t>
            </w: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Anti-rabbit Alexa Fluor 647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Invitrogen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A32733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Anti-mouse Alexa Fluor 647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Invitrogen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A-21235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Anti-rat Alexa Fluor 647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Invitrogen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A-21247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1:500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E20" w:rsidRPr="00AC6E20" w:rsidTr="00AC6E20">
        <w:trPr>
          <w:trHeight w:val="36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Anti-rabbit Alexa Fluor 488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Invitrogen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A-11008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20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1:250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E20" w:rsidRPr="00AC6E20" w:rsidRDefault="00AC6E20" w:rsidP="00AC6E2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:rsidR="00444A57" w:rsidRDefault="00444A57">
      <w:pPr>
        <w:rPr>
          <w:rFonts w:ascii="Times New Roman" w:hAnsi="Times New Roman" w:cs="Times New Roman"/>
          <w:lang w:eastAsia="ja-JP"/>
        </w:rPr>
      </w:pPr>
    </w:p>
    <w:p w:rsidR="00AC6E20" w:rsidRDefault="00AC6E20">
      <w:pPr>
        <w:widowControl/>
        <w:jc w:val="left"/>
        <w:rPr>
          <w:rFonts w:ascii="Times New Roman" w:hAnsi="Times New Roman" w:cs="Times New Roman"/>
          <w:b/>
          <w:bCs/>
          <w:lang w:eastAsia="ja-JP"/>
        </w:rPr>
      </w:pPr>
      <w:r>
        <w:rPr>
          <w:rFonts w:ascii="Times New Roman" w:hAnsi="Times New Roman" w:cs="Times New Roman"/>
          <w:b/>
          <w:bCs/>
          <w:lang w:eastAsia="ja-JP"/>
        </w:rPr>
        <w:br w:type="page"/>
      </w:r>
    </w:p>
    <w:p w:rsidR="00444A57" w:rsidRPr="003B59D9" w:rsidRDefault="00444A57">
      <w:pPr>
        <w:rPr>
          <w:rFonts w:ascii="Times New Roman" w:hAnsi="Times New Roman" w:cs="Times New Roman"/>
          <w:b/>
          <w:bCs/>
          <w:lang w:eastAsia="ja-JP"/>
        </w:rPr>
      </w:pPr>
      <w:r w:rsidRPr="003B59D9">
        <w:rPr>
          <w:rFonts w:ascii="Times New Roman" w:hAnsi="Times New Roman" w:cs="Times New Roman"/>
          <w:b/>
          <w:bCs/>
          <w:lang w:eastAsia="ja-JP"/>
        </w:rPr>
        <w:lastRenderedPageBreak/>
        <w:t>Fig. S1</w:t>
      </w:r>
    </w:p>
    <w:p w:rsidR="00444A57" w:rsidRDefault="00444A57">
      <w:pPr>
        <w:rPr>
          <w:rFonts w:ascii="Times New Roman" w:hAnsi="Times New Roman" w:cs="Times New Roman"/>
        </w:rPr>
      </w:pPr>
      <w:r w:rsidRPr="00444A57">
        <w:rPr>
          <w:rFonts w:ascii="Times New Roman" w:hAnsi="Times New Roman" w:cs="Times New Roman"/>
          <w:noProof/>
        </w:rPr>
        <w:drawing>
          <wp:inline distT="0" distB="0" distL="0" distR="0" wp14:anchorId="4E342723" wp14:editId="208C9590">
            <wp:extent cx="5029200" cy="3594100"/>
            <wp:effectExtent l="0" t="0" r="0" b="0"/>
            <wp:docPr id="21813650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13650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A57" w:rsidRDefault="00444A57">
      <w:pPr>
        <w:rPr>
          <w:rFonts w:ascii="Times New Roman" w:hAnsi="Times New Roman" w:cs="Times New Roman"/>
        </w:rPr>
      </w:pPr>
      <w:r>
        <w:rPr>
          <w:rFonts w:ascii="Times New Roman" w:eastAsia="ＭＳ ゴシック" w:hAnsi="Times New Roman" w:cs="Times New Roman"/>
          <w:color w:val="000000" w:themeColor="text1"/>
        </w:rPr>
        <w:t>Abundance of (</w:t>
      </w:r>
      <w:r w:rsidRPr="00444A57">
        <w:rPr>
          <w:rFonts w:ascii="Times New Roman" w:eastAsia="ＭＳ ゴシック" w:hAnsi="Times New Roman" w:cs="Times New Roman"/>
          <w:b/>
          <w:bCs/>
          <w:color w:val="000000" w:themeColor="text1"/>
        </w:rPr>
        <w:t>A</w:t>
      </w:r>
      <w:r>
        <w:rPr>
          <w:rFonts w:ascii="Times New Roman" w:eastAsia="ＭＳ ゴシック" w:hAnsi="Times New Roman" w:cs="Times New Roman"/>
          <w:color w:val="000000" w:themeColor="text1"/>
        </w:rPr>
        <w:t>) RIP3</w:t>
      </w:r>
      <w:r>
        <w:rPr>
          <w:rFonts w:ascii="Times New Roman" w:hAnsi="Times New Roman" w:cs="Times New Roman"/>
        </w:rPr>
        <w:t>, (</w:t>
      </w:r>
      <w:r w:rsidRPr="00444A57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) MLKL, and p-MLKL in detergent-soluble fraction samples of RPE-choroid was compared on western blot between GPx4 </w:t>
      </w:r>
      <w:proofErr w:type="spellStart"/>
      <w:r>
        <w:rPr>
          <w:rFonts w:ascii="Times New Roman" w:hAnsi="Times New Roman" w:cs="Times New Roman"/>
        </w:rPr>
        <w:t>cKO</w:t>
      </w:r>
      <w:proofErr w:type="spellEnd"/>
      <w:r>
        <w:rPr>
          <w:rFonts w:ascii="Times New Roman" w:hAnsi="Times New Roman" w:cs="Times New Roman"/>
        </w:rPr>
        <w:t xml:space="preserve"> and control mice </w:t>
      </w:r>
      <w:r w:rsidR="005B166B" w:rsidRPr="005B166B">
        <w:rPr>
          <w:rFonts w:ascii="Times New Roman" w:eastAsia="ＭＳ ゴシック" w:hAnsi="Times New Roman" w:cs="Times New Roman"/>
        </w:rPr>
        <w:t>12</w:t>
      </w:r>
      <w:r w:rsidRPr="005B166B">
        <w:rPr>
          <w:rFonts w:ascii="Times New Roman" w:eastAsia="ＭＳ ゴシック" w:hAnsi="Times New Roman" w:cs="Times New Roman"/>
        </w:rPr>
        <w:t xml:space="preserve"> days after AAV injections</w:t>
      </w:r>
      <w:r w:rsidRPr="005B166B">
        <w:rPr>
          <w:rFonts w:ascii="Times New Roman" w:eastAsia="ＭＳ ゴシック" w:hAnsi="Times New Roman" w:cs="Times New Roman"/>
          <w:color w:val="000000" w:themeColor="text1"/>
        </w:rPr>
        <w:t>.</w:t>
      </w:r>
      <w:r>
        <w:rPr>
          <w:rFonts w:ascii="Times New Roman" w:eastAsia="ＭＳ ゴシック" w:hAnsi="Times New Roman" w:cs="Times New Roman"/>
          <w:color w:val="000000" w:themeColor="text1"/>
        </w:rPr>
        <w:t xml:space="preserve"> n=4 per group. There was no statistical significance in the levels of MLKL and p-MLKL between the two groups.</w:t>
      </w:r>
    </w:p>
    <w:p w:rsidR="00444A57" w:rsidRDefault="00444A5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44A57" w:rsidRPr="003B59D9" w:rsidRDefault="00444A57">
      <w:pPr>
        <w:rPr>
          <w:rFonts w:ascii="Times New Roman" w:hAnsi="Times New Roman" w:cs="Times New Roman"/>
          <w:b/>
          <w:bCs/>
        </w:rPr>
      </w:pPr>
      <w:r w:rsidRPr="003B59D9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3B59D9">
        <w:rPr>
          <w:rFonts w:ascii="Times New Roman" w:hAnsi="Times New Roman" w:cs="Times New Roman"/>
          <w:b/>
          <w:bCs/>
        </w:rPr>
        <w:t>ig. S2</w:t>
      </w:r>
    </w:p>
    <w:p w:rsidR="00444A57" w:rsidRDefault="00444A57">
      <w:pPr>
        <w:rPr>
          <w:rFonts w:ascii="Times New Roman" w:hAnsi="Times New Roman" w:cs="Times New Roman"/>
        </w:rPr>
      </w:pPr>
      <w:r w:rsidRPr="00444A57">
        <w:rPr>
          <w:rFonts w:ascii="Times New Roman" w:hAnsi="Times New Roman" w:cs="Times New Roman"/>
          <w:noProof/>
        </w:rPr>
        <w:drawing>
          <wp:inline distT="0" distB="0" distL="0" distR="0" wp14:anchorId="1046BF54" wp14:editId="42E7CDD3">
            <wp:extent cx="5943600" cy="1689735"/>
            <wp:effectExtent l="0" t="0" r="0" b="0"/>
            <wp:docPr id="8551489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1489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A57" w:rsidRDefault="00444A57">
      <w:pPr>
        <w:rPr>
          <w:rFonts w:ascii="Times New Roman" w:hAnsi="Times New Roman" w:cs="Times New Roman"/>
          <w:lang w:eastAsia="ja-JP"/>
        </w:rPr>
      </w:pPr>
      <w:proofErr w:type="spellStart"/>
      <w:r>
        <w:rPr>
          <w:rFonts w:ascii="Times New Roman" w:hAnsi="Times New Roman" w:cs="Times New Roman"/>
          <w:lang w:eastAsia="ja-JP"/>
        </w:rPr>
        <w:t>Toludine</w:t>
      </w:r>
      <w:proofErr w:type="spellEnd"/>
      <w:r>
        <w:rPr>
          <w:rFonts w:ascii="Times New Roman" w:hAnsi="Times New Roman" w:cs="Times New Roman"/>
          <w:lang w:eastAsia="ja-JP"/>
        </w:rPr>
        <w:t xml:space="preserve"> blue staining of the retina</w:t>
      </w:r>
      <w:r w:rsidR="00D41B1E">
        <w:rPr>
          <w:rFonts w:ascii="Times New Roman" w:hAnsi="Times New Roman" w:cs="Times New Roman"/>
          <w:lang w:eastAsia="ja-JP"/>
        </w:rPr>
        <w:t xml:space="preserve"> sections</w:t>
      </w:r>
      <w:r>
        <w:rPr>
          <w:rFonts w:ascii="Times New Roman" w:hAnsi="Times New Roman" w:cs="Times New Roman"/>
          <w:lang w:eastAsia="ja-JP"/>
        </w:rPr>
        <w:t xml:space="preserve"> in GPx4 </w:t>
      </w:r>
      <w:proofErr w:type="spellStart"/>
      <w:r>
        <w:rPr>
          <w:rFonts w:ascii="Times New Roman" w:hAnsi="Times New Roman" w:cs="Times New Roman"/>
          <w:lang w:eastAsia="ja-JP"/>
        </w:rPr>
        <w:t>cKO</w:t>
      </w:r>
      <w:proofErr w:type="spellEnd"/>
      <w:r>
        <w:rPr>
          <w:rFonts w:ascii="Times New Roman" w:hAnsi="Times New Roman" w:cs="Times New Roman"/>
          <w:lang w:eastAsia="ja-JP"/>
        </w:rPr>
        <w:t xml:space="preserve"> and control mice 13 days after AAV injections. Note the multiple voids in the subretinal space</w:t>
      </w:r>
      <w:r w:rsidR="00D41B1E">
        <w:rPr>
          <w:rFonts w:ascii="Times New Roman" w:hAnsi="Times New Roman" w:cs="Times New Roman"/>
          <w:lang w:eastAsia="ja-JP"/>
        </w:rPr>
        <w:t xml:space="preserve"> of GPx4 </w:t>
      </w:r>
      <w:proofErr w:type="spellStart"/>
      <w:r w:rsidR="00D41B1E">
        <w:rPr>
          <w:rFonts w:ascii="Times New Roman" w:hAnsi="Times New Roman" w:cs="Times New Roman"/>
          <w:lang w:eastAsia="ja-JP"/>
        </w:rPr>
        <w:t>cKO</w:t>
      </w:r>
      <w:proofErr w:type="spellEnd"/>
      <w:r w:rsidR="00D41B1E">
        <w:rPr>
          <w:rFonts w:ascii="Times New Roman" w:hAnsi="Times New Roman" w:cs="Times New Roman"/>
          <w:lang w:eastAsia="ja-JP"/>
        </w:rPr>
        <w:t xml:space="preserve"> mice</w:t>
      </w:r>
      <w:r>
        <w:rPr>
          <w:rFonts w:ascii="Times New Roman" w:hAnsi="Times New Roman" w:cs="Times New Roman"/>
          <w:lang w:eastAsia="ja-JP"/>
        </w:rPr>
        <w:t>.</w:t>
      </w:r>
    </w:p>
    <w:p w:rsidR="00444A57" w:rsidRPr="00444A57" w:rsidRDefault="00444A57">
      <w:pPr>
        <w:rPr>
          <w:rFonts w:ascii="Times New Roman" w:hAnsi="Times New Roman" w:cs="Times New Roman"/>
        </w:rPr>
      </w:pPr>
    </w:p>
    <w:sectPr w:rsidR="00444A57" w:rsidRPr="00444A57" w:rsidSect="00C652F4">
      <w:pgSz w:w="12240" w:h="15840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A57"/>
    <w:rsid w:val="00051934"/>
    <w:rsid w:val="00271C30"/>
    <w:rsid w:val="003B59D9"/>
    <w:rsid w:val="00444A57"/>
    <w:rsid w:val="005B166B"/>
    <w:rsid w:val="00640B58"/>
    <w:rsid w:val="0086155D"/>
    <w:rsid w:val="00AC6E20"/>
    <w:rsid w:val="00BD54B2"/>
    <w:rsid w:val="00C652F4"/>
    <w:rsid w:val="00D41B1E"/>
    <w:rsid w:val="00E5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DF7694"/>
  <w15:chartTrackingRefBased/>
  <w15:docId w15:val="{658FA701-EDB2-9B41-B25C-B114BA751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44A5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4A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4A5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4A5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4A5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4A5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4A5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4A5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4A5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44A5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44A5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44A5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44A5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44A5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44A5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44A5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44A5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44A5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44A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44A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4A5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44A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4A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44A5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4A5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44A5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44A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44A5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44A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4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高志 上田</dc:creator>
  <cp:keywords/>
  <dc:description/>
  <cp:lastModifiedBy>高志 上田</cp:lastModifiedBy>
  <cp:revision>6</cp:revision>
  <dcterms:created xsi:type="dcterms:W3CDTF">2024-04-10T02:58:00Z</dcterms:created>
  <dcterms:modified xsi:type="dcterms:W3CDTF">2024-04-12T23:08:00Z</dcterms:modified>
</cp:coreProperties>
</file>