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EBE341" w14:textId="54F3DBDE" w:rsidR="008521BF" w:rsidRDefault="008521BF" w:rsidP="008521BF">
      <w:pPr>
        <w:spacing w:line="480" w:lineRule="auto"/>
        <w:rPr>
          <w:shd w:val="clear" w:color="auto" w:fill="FFFFFF"/>
          <w:lang w:val="en-US"/>
        </w:rPr>
      </w:pPr>
      <w:r w:rsidRPr="003A00EB">
        <w:rPr>
          <w:shd w:val="clear" w:color="auto" w:fill="FFFFFF"/>
          <w:lang w:val="en-US"/>
        </w:rPr>
        <w:t xml:space="preserve">Supplementary </w:t>
      </w:r>
      <w:r>
        <w:rPr>
          <w:shd w:val="clear" w:color="auto" w:fill="FFFFFF"/>
          <w:lang w:val="en-US"/>
        </w:rPr>
        <w:t>t</w:t>
      </w:r>
      <w:r w:rsidRPr="003A00EB">
        <w:rPr>
          <w:shd w:val="clear" w:color="auto" w:fill="FFFFFF"/>
          <w:lang w:val="en-US"/>
        </w:rPr>
        <w:t>able</w:t>
      </w:r>
      <w:r>
        <w:rPr>
          <w:shd w:val="clear" w:color="auto" w:fill="FFFFFF"/>
          <w:lang w:val="en-US"/>
        </w:rPr>
        <w:t>s legends</w:t>
      </w:r>
    </w:p>
    <w:p w14:paraId="76534EB4" w14:textId="5022FA5F" w:rsidR="008521BF" w:rsidRPr="00D45D5D" w:rsidRDefault="008521BF" w:rsidP="008521BF">
      <w:pPr>
        <w:spacing w:line="480" w:lineRule="auto"/>
        <w:rPr>
          <w:color w:val="222222"/>
          <w:shd w:val="clear" w:color="auto" w:fill="FFFFFF"/>
          <w:lang w:val="en-US"/>
        </w:rPr>
      </w:pPr>
      <w:r w:rsidRPr="003A00EB">
        <w:rPr>
          <w:shd w:val="clear" w:color="auto" w:fill="FFFFFF"/>
          <w:lang w:val="en-US"/>
        </w:rPr>
        <w:t xml:space="preserve">Supplementary Table </w:t>
      </w:r>
      <w:r>
        <w:rPr>
          <w:shd w:val="clear" w:color="auto" w:fill="FFFFFF"/>
          <w:lang w:val="en-US"/>
        </w:rPr>
        <w:t>S</w:t>
      </w:r>
      <w:r w:rsidRPr="003A00EB">
        <w:rPr>
          <w:shd w:val="clear" w:color="auto" w:fill="FFFFFF"/>
          <w:lang w:val="en-US"/>
        </w:rPr>
        <w:t>1. List</w:t>
      </w:r>
      <w:r>
        <w:rPr>
          <w:color w:val="222222"/>
          <w:shd w:val="clear" w:color="auto" w:fill="FFFFFF"/>
          <w:lang w:val="en-US"/>
        </w:rPr>
        <w:t xml:space="preserve"> </w:t>
      </w:r>
      <w:r w:rsidRPr="00D45D5D">
        <w:rPr>
          <w:color w:val="222222"/>
          <w:shd w:val="clear" w:color="auto" w:fill="FFFFFF"/>
          <w:lang w:val="en-US"/>
        </w:rPr>
        <w:t>of</w:t>
      </w:r>
      <w:r>
        <w:rPr>
          <w:color w:val="222222"/>
          <w:shd w:val="clear" w:color="auto" w:fill="FFFFFF"/>
          <w:lang w:val="en-US"/>
        </w:rPr>
        <w:t xml:space="preserve"> </w:t>
      </w:r>
      <w:r w:rsidRPr="00D45D5D">
        <w:rPr>
          <w:color w:val="222222"/>
          <w:shd w:val="clear" w:color="auto" w:fill="FFFFFF"/>
          <w:lang w:val="en-US"/>
        </w:rPr>
        <w:t>candidate</w:t>
      </w:r>
      <w:r>
        <w:rPr>
          <w:color w:val="222222"/>
          <w:shd w:val="clear" w:color="auto" w:fill="FFFFFF"/>
          <w:lang w:val="en-US"/>
        </w:rPr>
        <w:t xml:space="preserve"> </w:t>
      </w:r>
      <w:r w:rsidRPr="00D45D5D">
        <w:rPr>
          <w:color w:val="222222"/>
          <w:shd w:val="clear" w:color="auto" w:fill="FFFFFF"/>
          <w:lang w:val="en-US"/>
        </w:rPr>
        <w:t>genes</w:t>
      </w:r>
      <w:r>
        <w:rPr>
          <w:color w:val="222222"/>
          <w:shd w:val="clear" w:color="auto" w:fill="FFFFFF"/>
          <w:lang w:val="en-US"/>
        </w:rPr>
        <w:t xml:space="preserve"> </w:t>
      </w:r>
      <w:r w:rsidRPr="00D45D5D">
        <w:rPr>
          <w:color w:val="222222"/>
          <w:shd w:val="clear" w:color="auto" w:fill="FFFFFF"/>
          <w:lang w:val="en-US"/>
        </w:rPr>
        <w:t>included</w:t>
      </w:r>
      <w:r>
        <w:rPr>
          <w:color w:val="222222"/>
          <w:shd w:val="clear" w:color="auto" w:fill="FFFFFF"/>
          <w:lang w:val="en-US"/>
        </w:rPr>
        <w:t xml:space="preserve"> </w:t>
      </w:r>
      <w:r w:rsidRPr="00D45D5D">
        <w:rPr>
          <w:color w:val="222222"/>
          <w:shd w:val="clear" w:color="auto" w:fill="FFFFFF"/>
          <w:lang w:val="en-US"/>
        </w:rPr>
        <w:t>in</w:t>
      </w:r>
      <w:r>
        <w:rPr>
          <w:color w:val="222222"/>
          <w:shd w:val="clear" w:color="auto" w:fill="FFFFFF"/>
          <w:lang w:val="en-US"/>
        </w:rPr>
        <w:t xml:space="preserve"> </w:t>
      </w:r>
      <w:r w:rsidRPr="00D45D5D">
        <w:rPr>
          <w:color w:val="222222"/>
          <w:shd w:val="clear" w:color="auto" w:fill="FFFFFF"/>
          <w:lang w:val="en-US"/>
        </w:rPr>
        <w:t>the</w:t>
      </w:r>
      <w:r>
        <w:rPr>
          <w:color w:val="222222"/>
          <w:shd w:val="clear" w:color="auto" w:fill="FFFFFF"/>
          <w:lang w:val="en-US"/>
        </w:rPr>
        <w:t xml:space="preserve"> </w:t>
      </w:r>
      <w:r w:rsidRPr="00D45D5D">
        <w:rPr>
          <w:color w:val="222222"/>
          <w:shd w:val="clear" w:color="auto" w:fill="FFFFFF"/>
          <w:lang w:val="en-US"/>
        </w:rPr>
        <w:t>panel</w:t>
      </w:r>
    </w:p>
    <w:p w14:paraId="74FF4F5E" w14:textId="77777777" w:rsidR="008521BF" w:rsidRPr="006504DF" w:rsidRDefault="008521BF" w:rsidP="008521BF">
      <w:pPr>
        <w:spacing w:line="480" w:lineRule="auto"/>
        <w:rPr>
          <w:rFonts w:ascii="Georgia" w:hAnsi="Georgia"/>
          <w:color w:val="333333"/>
          <w:sz w:val="27"/>
          <w:szCs w:val="27"/>
          <w:shd w:val="clear" w:color="auto" w:fill="FFFFFF"/>
          <w:lang w:val="en-US"/>
        </w:rPr>
      </w:pPr>
      <w:r w:rsidRPr="00A366DF">
        <w:rPr>
          <w:shd w:val="clear" w:color="auto" w:fill="FFFFFF"/>
          <w:lang w:val="en-US"/>
        </w:rPr>
        <w:t xml:space="preserve">Supplementary Table </w:t>
      </w:r>
      <w:r>
        <w:rPr>
          <w:shd w:val="clear" w:color="auto" w:fill="FFFFFF"/>
          <w:lang w:val="en-US"/>
        </w:rPr>
        <w:t>S2</w:t>
      </w:r>
      <w:r w:rsidRPr="00ED4ADF">
        <w:rPr>
          <w:shd w:val="clear" w:color="auto" w:fill="FFFFFF"/>
          <w:lang w:val="en-US"/>
        </w:rPr>
        <w:t xml:space="preserve">. </w:t>
      </w:r>
      <w:r>
        <w:rPr>
          <w:shd w:val="clear" w:color="auto" w:fill="FFFFFF"/>
          <w:lang w:val="en-US"/>
        </w:rPr>
        <w:t>P</w:t>
      </w:r>
      <w:r>
        <w:rPr>
          <w:color w:val="222222"/>
          <w:shd w:val="clear" w:color="auto" w:fill="FFFFFF"/>
          <w:lang w:val="en-US"/>
        </w:rPr>
        <w:t>athogenic and likely pathogenic variants</w:t>
      </w:r>
      <w:r w:rsidRPr="009E57EB" w:rsidDel="0075280E">
        <w:t xml:space="preserve"> </w:t>
      </w:r>
      <w:r>
        <w:rPr>
          <w:lang w:val="en-US"/>
        </w:rPr>
        <w:t>(</w:t>
      </w:r>
      <w:r w:rsidRPr="00E21DB4">
        <w:rPr>
          <w:lang w:val="en-US"/>
        </w:rPr>
        <w:t>according to the ACMG</w:t>
      </w:r>
      <w:r>
        <w:rPr>
          <w:lang w:val="en-US"/>
        </w:rPr>
        <w:t xml:space="preserve">) </w:t>
      </w:r>
      <w:r>
        <w:rPr>
          <w:color w:val="222222"/>
          <w:shd w:val="clear" w:color="auto" w:fill="FFFFFF"/>
          <w:lang w:val="en-US"/>
        </w:rPr>
        <w:t>identified in severe and critical COVID-19 patients</w:t>
      </w:r>
      <w:r>
        <w:rPr>
          <w:lang w:val="en-US"/>
        </w:rPr>
        <w:t xml:space="preserve">; P – pathogenic, LP - </w:t>
      </w:r>
      <w:r>
        <w:rPr>
          <w:color w:val="222222"/>
          <w:shd w:val="clear" w:color="auto" w:fill="FFFFFF"/>
          <w:lang w:val="en-US"/>
        </w:rPr>
        <w:t xml:space="preserve">likely pathogenic, </w:t>
      </w:r>
      <w:proofErr w:type="spellStart"/>
      <w:r>
        <w:rPr>
          <w:color w:val="222222"/>
          <w:shd w:val="clear" w:color="auto" w:fill="FFFFFF"/>
          <w:lang w:val="en-US"/>
        </w:rPr>
        <w:t>hom</w:t>
      </w:r>
      <w:proofErr w:type="spellEnd"/>
      <w:r>
        <w:rPr>
          <w:color w:val="222222"/>
          <w:shd w:val="clear" w:color="auto" w:fill="FFFFFF"/>
          <w:lang w:val="en-US"/>
        </w:rPr>
        <w:t xml:space="preserve"> – homozygous, het – heterozygous, hem - hemizygous</w:t>
      </w:r>
    </w:p>
    <w:p w14:paraId="0194AC48" w14:textId="77777777" w:rsidR="008521BF" w:rsidRDefault="008521BF" w:rsidP="008521BF">
      <w:pPr>
        <w:spacing w:line="480" w:lineRule="auto"/>
        <w:rPr>
          <w:color w:val="222222"/>
          <w:shd w:val="clear" w:color="auto" w:fill="FFFFFF"/>
          <w:lang w:val="en-US"/>
        </w:rPr>
      </w:pPr>
      <w:r w:rsidRPr="0038788A">
        <w:rPr>
          <w:shd w:val="clear" w:color="auto" w:fill="FFFFFF"/>
          <w:lang w:val="en-US"/>
        </w:rPr>
        <w:t xml:space="preserve">Supplementary Table </w:t>
      </w:r>
      <w:r>
        <w:rPr>
          <w:shd w:val="clear" w:color="auto" w:fill="FFFFFF"/>
          <w:lang w:val="en-US"/>
        </w:rPr>
        <w:t>S3</w:t>
      </w:r>
      <w:r w:rsidRPr="0038788A">
        <w:rPr>
          <w:shd w:val="clear" w:color="auto" w:fill="FFFFFF"/>
          <w:lang w:val="en-US"/>
        </w:rPr>
        <w:t>. Novel</w:t>
      </w:r>
      <w:r>
        <w:rPr>
          <w:color w:val="222222"/>
          <w:shd w:val="clear" w:color="auto" w:fill="FFFFFF"/>
          <w:lang w:val="en-US"/>
        </w:rPr>
        <w:t xml:space="preserve"> (</w:t>
      </w:r>
      <w:r w:rsidRPr="004720CF">
        <w:rPr>
          <w:lang w:val="en-US"/>
        </w:rPr>
        <w:t xml:space="preserve">unreported in </w:t>
      </w:r>
      <w:proofErr w:type="spellStart"/>
      <w:r w:rsidRPr="004720CF">
        <w:rPr>
          <w:lang w:val="en-US"/>
        </w:rPr>
        <w:t>GnomAD</w:t>
      </w:r>
      <w:proofErr w:type="spellEnd"/>
      <w:r w:rsidRPr="004720CF">
        <w:rPr>
          <w:lang w:val="en-US"/>
        </w:rPr>
        <w:t xml:space="preserve"> or </w:t>
      </w:r>
      <w:proofErr w:type="spellStart"/>
      <w:r w:rsidRPr="004720CF">
        <w:rPr>
          <w:lang w:val="en-US"/>
        </w:rPr>
        <w:t>dbSNP</w:t>
      </w:r>
      <w:proofErr w:type="spellEnd"/>
      <w:r>
        <w:rPr>
          <w:lang w:val="en-US"/>
        </w:rPr>
        <w:t xml:space="preserve"> until April 2024</w:t>
      </w:r>
      <w:r>
        <w:rPr>
          <w:color w:val="222222"/>
          <w:shd w:val="clear" w:color="auto" w:fill="FFFFFF"/>
          <w:lang w:val="en-US"/>
        </w:rPr>
        <w:t>) rare variants identified in severe and critical COVID-19 patients; Pathogenic and likely pathogenic variants (</w:t>
      </w:r>
      <w:r w:rsidRPr="00E21DB4">
        <w:rPr>
          <w:lang w:val="en-US"/>
        </w:rPr>
        <w:t>according to the ACMG</w:t>
      </w:r>
      <w:r>
        <w:rPr>
          <w:lang w:val="en-US"/>
        </w:rPr>
        <w:t xml:space="preserve">) </w:t>
      </w:r>
      <w:r>
        <w:rPr>
          <w:color w:val="222222"/>
          <w:shd w:val="clear" w:color="auto" w:fill="FFFFFF"/>
          <w:lang w:val="en-US"/>
        </w:rPr>
        <w:t xml:space="preserve">among them are shown in bold; </w:t>
      </w:r>
      <w:r>
        <w:rPr>
          <w:lang w:val="en-US"/>
        </w:rPr>
        <w:t xml:space="preserve">P – pathogenic, LP - </w:t>
      </w:r>
      <w:r>
        <w:rPr>
          <w:color w:val="222222"/>
          <w:shd w:val="clear" w:color="auto" w:fill="FFFFFF"/>
          <w:lang w:val="en-US"/>
        </w:rPr>
        <w:t>likely pathogenic, WP – weak pathogenic, VUS – variant of unknown significance</w:t>
      </w:r>
    </w:p>
    <w:p w14:paraId="3FA2059F" w14:textId="77777777" w:rsidR="008521BF" w:rsidRPr="00A9253B" w:rsidRDefault="008521BF" w:rsidP="008521BF">
      <w:pPr>
        <w:spacing w:line="480" w:lineRule="auto"/>
        <w:rPr>
          <w:shd w:val="clear" w:color="auto" w:fill="FFFFFF"/>
          <w:lang w:val="en-US"/>
        </w:rPr>
      </w:pPr>
      <w:r w:rsidRPr="0038788A">
        <w:rPr>
          <w:shd w:val="clear" w:color="auto" w:fill="FFFFFF"/>
          <w:lang w:val="en-US"/>
        </w:rPr>
        <w:t xml:space="preserve">Supplementary Table </w:t>
      </w:r>
      <w:r>
        <w:rPr>
          <w:shd w:val="clear" w:color="auto" w:fill="FFFFFF"/>
          <w:lang w:val="en-US"/>
        </w:rPr>
        <w:t>S4</w:t>
      </w:r>
      <w:r w:rsidRPr="001F7027">
        <w:rPr>
          <w:shd w:val="clear" w:color="auto" w:fill="FFFFFF"/>
          <w:lang w:val="en-US"/>
        </w:rPr>
        <w:t xml:space="preserve">. </w:t>
      </w:r>
      <w:proofErr w:type="spellStart"/>
      <w:r w:rsidRPr="00E31A84">
        <w:rPr>
          <w:shd w:val="clear" w:color="auto" w:fill="FFFFFF"/>
        </w:rPr>
        <w:t>Presentation</w:t>
      </w:r>
      <w:proofErr w:type="spellEnd"/>
      <w:r w:rsidRPr="00E31A84">
        <w:rPr>
          <w:shd w:val="clear" w:color="auto" w:fill="FFFFFF"/>
        </w:rPr>
        <w:t xml:space="preserve"> </w:t>
      </w:r>
      <w:proofErr w:type="spellStart"/>
      <w:r w:rsidRPr="00E31A84">
        <w:rPr>
          <w:shd w:val="clear" w:color="auto" w:fill="FFFFFF"/>
        </w:rPr>
        <w:t>of</w:t>
      </w:r>
      <w:proofErr w:type="spellEnd"/>
      <w:r w:rsidRPr="00E31A84">
        <w:rPr>
          <w:shd w:val="clear" w:color="auto" w:fill="FFFFFF"/>
        </w:rPr>
        <w:t xml:space="preserve"> </w:t>
      </w:r>
      <w:proofErr w:type="spellStart"/>
      <w:r w:rsidRPr="00E31A84">
        <w:rPr>
          <w:shd w:val="clear" w:color="auto" w:fill="FFFFFF"/>
        </w:rPr>
        <w:t>individuals</w:t>
      </w:r>
      <w:proofErr w:type="spellEnd"/>
      <w:r w:rsidRPr="00E31A84">
        <w:rPr>
          <w:shd w:val="clear" w:color="auto" w:fill="FFFFFF"/>
        </w:rPr>
        <w:t xml:space="preserve"> </w:t>
      </w:r>
      <w:proofErr w:type="spellStart"/>
      <w:r w:rsidRPr="00E31A84">
        <w:rPr>
          <w:shd w:val="clear" w:color="auto" w:fill="FFFFFF"/>
        </w:rPr>
        <w:t>with</w:t>
      </w:r>
      <w:proofErr w:type="spellEnd"/>
      <w:r w:rsidRPr="00E31A84"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critical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and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severe</w:t>
      </w:r>
      <w:proofErr w:type="spellEnd"/>
      <w:r>
        <w:rPr>
          <w:shd w:val="clear" w:color="auto" w:fill="FFFFFF"/>
        </w:rPr>
        <w:t xml:space="preserve"> COVID-19 </w:t>
      </w:r>
      <w:proofErr w:type="spellStart"/>
      <w:r>
        <w:rPr>
          <w:shd w:val="clear" w:color="auto" w:fill="FFFFFF"/>
        </w:rPr>
        <w:t>carrying</w:t>
      </w:r>
      <w:proofErr w:type="spellEnd"/>
      <w:r>
        <w:rPr>
          <w:shd w:val="clear" w:color="auto" w:fill="FFFFFF"/>
        </w:rPr>
        <w:t xml:space="preserve"> </w:t>
      </w:r>
      <w:proofErr w:type="spellStart"/>
      <w:r w:rsidRPr="00E31A84">
        <w:rPr>
          <w:shd w:val="clear" w:color="auto" w:fill="FFFFFF"/>
        </w:rPr>
        <w:t>pathogenic</w:t>
      </w:r>
      <w:proofErr w:type="spellEnd"/>
      <w:r w:rsidRPr="00E31A84">
        <w:rPr>
          <w:shd w:val="clear" w:color="auto" w:fill="FFFFFF"/>
        </w:rPr>
        <w:t>/</w:t>
      </w:r>
      <w:proofErr w:type="spellStart"/>
      <w:r w:rsidRPr="00E31A84">
        <w:rPr>
          <w:shd w:val="clear" w:color="auto" w:fill="FFFFFF"/>
        </w:rPr>
        <w:t>likely</w:t>
      </w:r>
      <w:proofErr w:type="spellEnd"/>
      <w:r w:rsidRPr="00E31A84">
        <w:rPr>
          <w:shd w:val="clear" w:color="auto" w:fill="FFFFFF"/>
        </w:rPr>
        <w:t xml:space="preserve"> </w:t>
      </w:r>
      <w:proofErr w:type="spellStart"/>
      <w:r w:rsidRPr="00E31A84">
        <w:rPr>
          <w:shd w:val="clear" w:color="auto" w:fill="FFFFFF"/>
        </w:rPr>
        <w:t>pathogenic</w:t>
      </w:r>
      <w:proofErr w:type="spellEnd"/>
      <w:r w:rsidRPr="00E31A84">
        <w:rPr>
          <w:shd w:val="clear" w:color="auto" w:fill="FFFFFF"/>
        </w:rPr>
        <w:t xml:space="preserve"> </w:t>
      </w:r>
      <w:proofErr w:type="spellStart"/>
      <w:r w:rsidRPr="00E31A84">
        <w:rPr>
          <w:shd w:val="clear" w:color="auto" w:fill="FFFFFF"/>
        </w:rPr>
        <w:t>variants</w:t>
      </w:r>
      <w:proofErr w:type="spellEnd"/>
      <w:r w:rsidRPr="00E31A84">
        <w:rPr>
          <w:shd w:val="clear" w:color="auto" w:fill="FFFFFF"/>
        </w:rPr>
        <w:t xml:space="preserve"> </w:t>
      </w:r>
      <w:proofErr w:type="spellStart"/>
      <w:r w:rsidRPr="00E31A84">
        <w:rPr>
          <w:shd w:val="clear" w:color="auto" w:fill="FFFFFF"/>
        </w:rPr>
        <w:t>in</w:t>
      </w:r>
      <w:proofErr w:type="spellEnd"/>
      <w:r w:rsidRPr="00E31A84">
        <w:rPr>
          <w:shd w:val="clear" w:color="auto" w:fill="FFFFFF"/>
        </w:rPr>
        <w:t xml:space="preserve"> AD </w:t>
      </w:r>
      <w:proofErr w:type="spellStart"/>
      <w:r w:rsidRPr="00E31A84">
        <w:rPr>
          <w:shd w:val="clear" w:color="auto" w:fill="FFFFFF"/>
        </w:rPr>
        <w:t>genes</w:t>
      </w:r>
      <w:proofErr w:type="spellEnd"/>
      <w:r>
        <w:rPr>
          <w:shd w:val="clear" w:color="auto" w:fill="FFFFFF"/>
          <w:lang w:val="en-US"/>
        </w:rPr>
        <w:t xml:space="preserve">; </w:t>
      </w:r>
      <w:r w:rsidRPr="00F85846">
        <w:rPr>
          <w:shd w:val="clear" w:color="auto" w:fill="FFFFFF"/>
        </w:rPr>
        <w:t xml:space="preserve">ECOG: </w:t>
      </w:r>
      <w:proofErr w:type="spellStart"/>
      <w:r w:rsidRPr="00F85846">
        <w:rPr>
          <w:shd w:val="clear" w:color="auto" w:fill="FFFFFF"/>
        </w:rPr>
        <w:t>the</w:t>
      </w:r>
      <w:proofErr w:type="spellEnd"/>
      <w:r w:rsidRPr="00F85846">
        <w:rPr>
          <w:shd w:val="clear" w:color="auto" w:fill="FFFFFF"/>
        </w:rPr>
        <w:t xml:space="preserve"> ECOG </w:t>
      </w:r>
      <w:proofErr w:type="spellStart"/>
      <w:r w:rsidRPr="00F85846">
        <w:rPr>
          <w:shd w:val="clear" w:color="auto" w:fill="FFFFFF"/>
        </w:rPr>
        <w:t>Scale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of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Performance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Status</w:t>
      </w:r>
      <w:proofErr w:type="spellEnd"/>
      <w:r w:rsidRPr="00F85846">
        <w:rPr>
          <w:shd w:val="clear" w:color="auto" w:fill="FFFFFF"/>
        </w:rPr>
        <w:t xml:space="preserve"> (PS) </w:t>
      </w:r>
      <w:proofErr w:type="spellStart"/>
      <w:r w:rsidRPr="00F85846">
        <w:rPr>
          <w:shd w:val="clear" w:color="auto" w:fill="FFFFFF"/>
        </w:rPr>
        <w:t>is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widely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used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to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quantify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the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functional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status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of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cancer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patients</w:t>
      </w:r>
      <w:proofErr w:type="spellEnd"/>
      <w:r w:rsidRPr="00F85846">
        <w:rPr>
          <w:shd w:val="clear" w:color="auto" w:fill="FFFFFF"/>
        </w:rPr>
        <w:t xml:space="preserve">, </w:t>
      </w:r>
      <w:proofErr w:type="spellStart"/>
      <w:r w:rsidRPr="00F85846">
        <w:rPr>
          <w:shd w:val="clear" w:color="auto" w:fill="FFFFFF"/>
        </w:rPr>
        <w:t>and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is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an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important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factor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determining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prognosis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in</w:t>
      </w:r>
      <w:proofErr w:type="spellEnd"/>
      <w:r w:rsidRPr="00F85846">
        <w:rPr>
          <w:shd w:val="clear" w:color="auto" w:fill="FFFFFF"/>
        </w:rPr>
        <w:t xml:space="preserve"> a </w:t>
      </w:r>
      <w:proofErr w:type="spellStart"/>
      <w:r w:rsidRPr="00F85846">
        <w:rPr>
          <w:shd w:val="clear" w:color="auto" w:fill="FFFFFF"/>
        </w:rPr>
        <w:t>number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of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malignant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conditions</w:t>
      </w:r>
      <w:proofErr w:type="spellEnd"/>
      <w:r w:rsidRPr="00F85846">
        <w:rPr>
          <w:shd w:val="clear" w:color="auto" w:fill="FFFFFF"/>
        </w:rPr>
        <w:t xml:space="preserve">. </w:t>
      </w:r>
      <w:proofErr w:type="spellStart"/>
      <w:r w:rsidRPr="00F85846">
        <w:rPr>
          <w:shd w:val="clear" w:color="auto" w:fill="FFFFFF"/>
        </w:rPr>
        <w:t>The</w:t>
      </w:r>
      <w:proofErr w:type="spellEnd"/>
      <w:r w:rsidRPr="00F85846">
        <w:rPr>
          <w:shd w:val="clear" w:color="auto" w:fill="FFFFFF"/>
        </w:rPr>
        <w:t xml:space="preserve"> PS </w:t>
      </w:r>
      <w:proofErr w:type="spellStart"/>
      <w:r w:rsidRPr="00F85846">
        <w:rPr>
          <w:shd w:val="clear" w:color="auto" w:fill="FFFFFF"/>
        </w:rPr>
        <w:t>describes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the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status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of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symptoms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and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functions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with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respect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to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ambulatory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status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and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need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for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care</w:t>
      </w:r>
      <w:proofErr w:type="spellEnd"/>
      <w:r w:rsidRPr="00F85846">
        <w:rPr>
          <w:shd w:val="clear" w:color="auto" w:fill="FFFFFF"/>
        </w:rPr>
        <w:t xml:space="preserve">. PS 0 </w:t>
      </w:r>
      <w:proofErr w:type="spellStart"/>
      <w:r w:rsidRPr="00F85846">
        <w:rPr>
          <w:shd w:val="clear" w:color="auto" w:fill="FFFFFF"/>
        </w:rPr>
        <w:t>means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normal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activity</w:t>
      </w:r>
      <w:proofErr w:type="spellEnd"/>
      <w:r w:rsidRPr="00F85846">
        <w:rPr>
          <w:shd w:val="clear" w:color="auto" w:fill="FFFFFF"/>
        </w:rPr>
        <w:t xml:space="preserve">, PS 1 </w:t>
      </w:r>
      <w:proofErr w:type="spellStart"/>
      <w:r w:rsidRPr="00F85846">
        <w:rPr>
          <w:shd w:val="clear" w:color="auto" w:fill="FFFFFF"/>
        </w:rPr>
        <w:t>means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some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symptoms</w:t>
      </w:r>
      <w:proofErr w:type="spellEnd"/>
      <w:r w:rsidRPr="00F85846">
        <w:rPr>
          <w:shd w:val="clear" w:color="auto" w:fill="FFFFFF"/>
        </w:rPr>
        <w:t xml:space="preserve">, </w:t>
      </w:r>
      <w:proofErr w:type="spellStart"/>
      <w:r w:rsidRPr="00F85846">
        <w:rPr>
          <w:shd w:val="clear" w:color="auto" w:fill="FFFFFF"/>
        </w:rPr>
        <w:t>but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still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near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fully</w:t>
      </w:r>
      <w:proofErr w:type="spellEnd"/>
      <w:r w:rsidRPr="00F85846">
        <w:rPr>
          <w:shd w:val="clear" w:color="auto" w:fill="FFFFFF"/>
        </w:rPr>
        <w:t xml:space="preserve"> </w:t>
      </w:r>
      <w:proofErr w:type="spellStart"/>
      <w:r w:rsidRPr="00F85846">
        <w:rPr>
          <w:shd w:val="clear" w:color="auto" w:fill="FFFFFF"/>
        </w:rPr>
        <w:t>ambulatory</w:t>
      </w:r>
      <w:proofErr w:type="spellEnd"/>
      <w:r>
        <w:rPr>
          <w:shd w:val="clear" w:color="auto" w:fill="FFFFFF"/>
        </w:rPr>
        <w:t xml:space="preserve">; AR: </w:t>
      </w:r>
      <w:proofErr w:type="spellStart"/>
      <w:r>
        <w:rPr>
          <w:shd w:val="clear" w:color="auto" w:fill="FFFFFF"/>
        </w:rPr>
        <w:t>autosomal-recessive</w:t>
      </w:r>
      <w:proofErr w:type="spellEnd"/>
      <w:r>
        <w:rPr>
          <w:shd w:val="clear" w:color="auto" w:fill="FFFFFF"/>
        </w:rPr>
        <w:t xml:space="preserve">, AD: </w:t>
      </w:r>
      <w:proofErr w:type="spellStart"/>
      <w:r>
        <w:rPr>
          <w:shd w:val="clear" w:color="auto" w:fill="FFFFFF"/>
        </w:rPr>
        <w:t>autosomal-dominant</w:t>
      </w:r>
      <w:proofErr w:type="spellEnd"/>
      <w:r>
        <w:rPr>
          <w:shd w:val="clear" w:color="auto" w:fill="FFFFFF"/>
        </w:rPr>
        <w:t xml:space="preserve">, P: </w:t>
      </w:r>
      <w:proofErr w:type="spellStart"/>
      <w:r>
        <w:rPr>
          <w:shd w:val="clear" w:color="auto" w:fill="FFFFFF"/>
        </w:rPr>
        <w:t>Pathogenic</w:t>
      </w:r>
      <w:proofErr w:type="spellEnd"/>
      <w:r>
        <w:rPr>
          <w:shd w:val="clear" w:color="auto" w:fill="FFFFFF"/>
        </w:rPr>
        <w:t xml:space="preserve">, LP: </w:t>
      </w:r>
      <w:proofErr w:type="spellStart"/>
      <w:r>
        <w:rPr>
          <w:shd w:val="clear" w:color="auto" w:fill="FFFFFF"/>
        </w:rPr>
        <w:t>Likely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pathogenic</w:t>
      </w:r>
      <w:proofErr w:type="spellEnd"/>
      <w:r>
        <w:rPr>
          <w:shd w:val="clear" w:color="auto" w:fill="FFFFFF"/>
        </w:rPr>
        <w:t xml:space="preserve">, NA: </w:t>
      </w:r>
      <w:proofErr w:type="spellStart"/>
      <w:r>
        <w:rPr>
          <w:shd w:val="clear" w:color="auto" w:fill="FFFFFF"/>
        </w:rPr>
        <w:t>not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available</w:t>
      </w:r>
      <w:proofErr w:type="spellEnd"/>
      <w:r>
        <w:rPr>
          <w:shd w:val="clear" w:color="auto" w:fill="FFFFFF"/>
        </w:rPr>
        <w:t xml:space="preserve">; </w:t>
      </w:r>
      <w:proofErr w:type="spellStart"/>
      <w:r>
        <w:rPr>
          <w:shd w:val="clear" w:color="auto" w:fill="FFFFFF"/>
        </w:rPr>
        <w:t>het</w:t>
      </w:r>
      <w:proofErr w:type="spellEnd"/>
      <w:r>
        <w:rPr>
          <w:shd w:val="clear" w:color="auto" w:fill="FFFFFF"/>
        </w:rPr>
        <w:t xml:space="preserve">: </w:t>
      </w:r>
      <w:proofErr w:type="spellStart"/>
      <w:r>
        <w:rPr>
          <w:shd w:val="clear" w:color="auto" w:fill="FFFFFF"/>
        </w:rPr>
        <w:t>heterozygous</w:t>
      </w:r>
      <w:proofErr w:type="spellEnd"/>
    </w:p>
    <w:p w14:paraId="45BE78D5" w14:textId="77777777" w:rsidR="008521BF" w:rsidRDefault="008521BF" w:rsidP="008521BF">
      <w:pPr>
        <w:spacing w:line="480" w:lineRule="auto"/>
        <w:rPr>
          <w:color w:val="222222"/>
          <w:shd w:val="clear" w:color="auto" w:fill="FFFFFF"/>
          <w:lang w:val="en-US"/>
        </w:rPr>
      </w:pPr>
      <w:r w:rsidRPr="0038788A">
        <w:rPr>
          <w:shd w:val="clear" w:color="auto" w:fill="FFFFFF"/>
          <w:lang w:val="en-US"/>
        </w:rPr>
        <w:t xml:space="preserve">Supplementary Table </w:t>
      </w:r>
      <w:r>
        <w:rPr>
          <w:shd w:val="clear" w:color="auto" w:fill="FFFFFF"/>
          <w:lang w:val="en-US"/>
        </w:rPr>
        <w:t>S5</w:t>
      </w:r>
      <w:r w:rsidRPr="0038788A">
        <w:rPr>
          <w:shd w:val="clear" w:color="auto" w:fill="FFFFFF"/>
          <w:lang w:val="en-US"/>
        </w:rPr>
        <w:t>. Network</w:t>
      </w:r>
      <w:r w:rsidRPr="00773182">
        <w:rPr>
          <w:color w:val="222222"/>
          <w:shd w:val="clear" w:color="auto" w:fill="FFFFFF"/>
          <w:lang w:val="en-US"/>
        </w:rPr>
        <w:t xml:space="preserve"> components including genes grouped in clusters</w:t>
      </w:r>
    </w:p>
    <w:p w14:paraId="0FDE2F8E" w14:textId="77777777" w:rsidR="00F47F98" w:rsidRDefault="00F47F98"/>
    <w:sectPr w:rsidR="00F47F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1BF"/>
    <w:rsid w:val="0038620E"/>
    <w:rsid w:val="008521BF"/>
    <w:rsid w:val="00F4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762B3"/>
  <w15:chartTrackingRefBased/>
  <w15:docId w15:val="{000B7673-8EE8-455C-ACC7-7139E5566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21B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bg-BG" w:eastAsia="bg-BG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Kunka Kamenarova</dc:creator>
  <cp:keywords/>
  <dc:description/>
  <cp:lastModifiedBy>Kunka Kamenarova</cp:lastModifiedBy>
  <cp:revision>1</cp:revision>
  <dcterms:created xsi:type="dcterms:W3CDTF">2024-05-06T10:48:00Z</dcterms:created>
  <dcterms:modified xsi:type="dcterms:W3CDTF">2024-05-06T10:50:00Z</dcterms:modified>
</cp:coreProperties>
</file>