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969D6" w14:textId="77777777" w:rsidR="004B3446" w:rsidRPr="004B3446" w:rsidRDefault="004B3446" w:rsidP="004B34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3446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58CDF575" w14:textId="77777777" w:rsidR="004B3446" w:rsidRPr="004B3446" w:rsidRDefault="004B3446" w:rsidP="004B34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3446">
        <w:rPr>
          <w:rFonts w:ascii="Times New Roman" w:hAnsi="Times New Roman" w:cs="Times New Roman"/>
          <w:b/>
          <w:bCs/>
          <w:sz w:val="24"/>
          <w:szCs w:val="24"/>
        </w:rPr>
        <w:t>Appendix A: Variable explanation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5642"/>
        <w:gridCol w:w="1992"/>
      </w:tblGrid>
      <w:tr w:rsidR="004B3446" w:rsidRPr="004B3446" w14:paraId="7EEE1FA2" w14:textId="77777777" w:rsidTr="005177DC">
        <w:tc>
          <w:tcPr>
            <w:tcW w:w="1728" w:type="dxa"/>
            <w:tcBorders>
              <w:left w:val="nil"/>
              <w:bottom w:val="single" w:sz="4" w:space="0" w:color="auto"/>
              <w:right w:val="nil"/>
            </w:tcBorders>
          </w:tcPr>
          <w:p w14:paraId="704E649D" w14:textId="77777777" w:rsidR="004B3446" w:rsidRPr="004B3446" w:rsidRDefault="004B3446" w:rsidP="005177D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Variable </w:t>
            </w: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</w:tcPr>
          <w:p w14:paraId="0A76D672" w14:textId="77777777" w:rsidR="004B3446" w:rsidRPr="004B3446" w:rsidRDefault="004B3446" w:rsidP="005177D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Definitions </w:t>
            </w:r>
          </w:p>
        </w:tc>
        <w:tc>
          <w:tcPr>
            <w:tcW w:w="1998" w:type="dxa"/>
            <w:tcBorders>
              <w:left w:val="nil"/>
              <w:bottom w:val="single" w:sz="4" w:space="0" w:color="auto"/>
              <w:right w:val="nil"/>
            </w:tcBorders>
          </w:tcPr>
          <w:p w14:paraId="0C0D8D30" w14:textId="77777777" w:rsidR="004B3446" w:rsidRPr="004B3446" w:rsidRDefault="004B3446" w:rsidP="005177D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Source</w:t>
            </w:r>
          </w:p>
        </w:tc>
      </w:tr>
      <w:tr w:rsidR="004B3446" w:rsidRPr="004B3446" w14:paraId="37BDA41E" w14:textId="77777777" w:rsidTr="005177DC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88B5" w14:textId="77777777" w:rsidR="004B3446" w:rsidRPr="004B3446" w:rsidRDefault="004B3446" w:rsidP="005177D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Dependent variables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4F2A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EB5B4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B3446" w:rsidRPr="004B3446" w14:paraId="12D07599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14DD1B1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sz w:val="20"/>
                <w:szCs w:val="20"/>
              </w:rPr>
              <w:t>Bank Lending (LND)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1722F05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Fonts w:asciiTheme="majorBidi" w:eastAsia="CharisSIL" w:hAnsiTheme="majorBidi" w:cstheme="majorBidi"/>
                <w:sz w:val="20"/>
                <w:szCs w:val="20"/>
              </w:rPr>
              <w:t>Annual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 xml:space="preserve">​ </w:t>
            </w:r>
            <w:r w:rsidRPr="004B3446">
              <w:rPr>
                <w:rFonts w:asciiTheme="majorBidi" w:eastAsia="CharisSIL" w:hAnsiTheme="majorBidi" w:cstheme="majorBidi"/>
                <w:sz w:val="20"/>
                <w:szCs w:val="20"/>
              </w:rPr>
              <w:t xml:space="preserve">percentage 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>​</w:t>
            </w:r>
            <w:r w:rsidRPr="004B3446">
              <w:rPr>
                <w:rFonts w:asciiTheme="majorBidi" w:eastAsia="CharisSIL" w:hAnsiTheme="majorBidi" w:cstheme="majorBidi"/>
                <w:sz w:val="20"/>
                <w:szCs w:val="20"/>
              </w:rPr>
              <w:t xml:space="preserve">change 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>​</w:t>
            </w:r>
            <w:r w:rsidRPr="004B3446">
              <w:rPr>
                <w:rFonts w:asciiTheme="majorBidi" w:eastAsia="CharisSIL" w:hAnsiTheme="majorBidi" w:cstheme="majorBidi"/>
                <w:sz w:val="20"/>
                <w:szCs w:val="20"/>
              </w:rPr>
              <w:t xml:space="preserve">in 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>​</w:t>
            </w:r>
            <w:r w:rsidRPr="004B3446">
              <w:rPr>
                <w:rFonts w:asciiTheme="majorBidi" w:eastAsia="CharisSIL" w:hAnsiTheme="majorBidi" w:cstheme="majorBidi"/>
                <w:sz w:val="20"/>
                <w:szCs w:val="20"/>
              </w:rPr>
              <w:t>banks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 xml:space="preserve">' </w:t>
            </w:r>
            <w:r w:rsidRPr="004B3446">
              <w:rPr>
                <w:rFonts w:asciiTheme="majorBidi" w:eastAsia="CharisSIL" w:hAnsiTheme="majorBidi" w:cstheme="majorBidi"/>
                <w:sz w:val="20"/>
                <w:szCs w:val="20"/>
              </w:rPr>
              <w:t>loans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3482A3BE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Fonts w:asciiTheme="majorBidi" w:eastAsia="CharisSIL" w:hAnsiTheme="majorBidi" w:cstheme="majorBidi"/>
                <w:sz w:val="20"/>
                <w:szCs w:val="20"/>
              </w:rPr>
              <w:t>Bankscop</w:t>
            </w:r>
          </w:p>
        </w:tc>
      </w:tr>
      <w:tr w:rsidR="004B3446" w:rsidRPr="004B3446" w14:paraId="453AA5BF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23C27F0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8D510F8" w14:textId="77777777" w:rsidR="004B3446" w:rsidRPr="004B3446" w:rsidRDefault="004B3446" w:rsidP="005177DC">
            <w:pPr>
              <w:rPr>
                <w:rFonts w:asciiTheme="majorBidi" w:eastAsia="CharisSIL" w:hAnsiTheme="majorBidi" w:cstheme="majorBidi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60F8D61B" w14:textId="77777777" w:rsidR="004B3446" w:rsidRPr="004B3446" w:rsidRDefault="004B3446" w:rsidP="005177DC">
            <w:pPr>
              <w:rPr>
                <w:rFonts w:asciiTheme="majorBidi" w:eastAsia="CharisSIL" w:hAnsiTheme="majorBidi" w:cstheme="majorBidi"/>
                <w:sz w:val="20"/>
                <w:szCs w:val="20"/>
              </w:rPr>
            </w:pPr>
          </w:p>
        </w:tc>
      </w:tr>
      <w:tr w:rsidR="004B3446" w:rsidRPr="004B3446" w14:paraId="4E66216C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5F5655A" w14:textId="77777777" w:rsidR="004B3446" w:rsidRPr="004B3446" w:rsidRDefault="004B3446" w:rsidP="005177D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Independent variables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23E2D26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0656E399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B3446" w:rsidRPr="004B3446" w14:paraId="63452511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F1D18F5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ESG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A5337FC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 xml:space="preserve">ESG Combined Score is based on the environmental, social, and corporate governance pillars. 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953D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Thomson Reuters ASSET4</w:t>
            </w:r>
          </w:p>
        </w:tc>
      </w:tr>
      <w:tr w:rsidR="004B3446" w:rsidRPr="004B3446" w14:paraId="74258253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EABEA32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4446504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Environmental pillar score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4372C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Thomson Reuters ASSET4</w:t>
            </w:r>
          </w:p>
        </w:tc>
      </w:tr>
      <w:tr w:rsidR="004B3446" w:rsidRPr="004B3446" w14:paraId="2A22E8C1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E05A735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9EC7C3D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Social pillar score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6FDCA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Thomson Reuters ASSET4</w:t>
            </w:r>
          </w:p>
        </w:tc>
      </w:tr>
      <w:tr w:rsidR="004B3446" w:rsidRPr="004B3446" w14:paraId="3AFB9D41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847FAB3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C695C8D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 xml:space="preserve">Governance pillar score 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0578E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Thomson Reuters ASSET4</w:t>
            </w:r>
          </w:p>
        </w:tc>
      </w:tr>
      <w:tr w:rsidR="004B3446" w:rsidRPr="004B3446" w14:paraId="476B052F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1CCA911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37EE4F2" w14:textId="77777777" w:rsidR="004B3446" w:rsidRPr="004B3446" w:rsidRDefault="004B3446" w:rsidP="005177DC">
            <w:pPr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BD61" w14:textId="77777777" w:rsidR="004B3446" w:rsidRPr="004B3446" w:rsidRDefault="004B3446" w:rsidP="005177DC">
            <w:pPr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4B3446" w:rsidRPr="004B3446" w14:paraId="0B4AB0F4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FB2B8D5" w14:textId="77777777" w:rsidR="004B3446" w:rsidRPr="004B3446" w:rsidRDefault="004B3446" w:rsidP="005177D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Control variables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669BEA3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11C3456A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B3446" w:rsidRPr="004B3446" w14:paraId="5085EA82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B733205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 xml:space="preserve">Size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D52B832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Natural logarithm of total assets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0971097E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Bankscope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4B3446" w:rsidRPr="004B3446" w14:paraId="3EC1CC18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C825EDC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 xml:space="preserve">Capitalization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07DEB65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Total equity/total assets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29BC7ADA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Bankscope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4B3446" w:rsidRPr="004B3446" w14:paraId="4FFEA852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BBF98D3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Liquidity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056A3E7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sz w:val="20"/>
                <w:szCs w:val="20"/>
              </w:rPr>
              <w:t>liquid assets/ Total assets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46DAB92C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Bankscope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4B3446" w:rsidRPr="004B3446" w14:paraId="74CD1935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78C3BBC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Asset quality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9DC955B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sz w:val="20"/>
                <w:szCs w:val="20"/>
              </w:rPr>
              <w:t>Net loan to total assets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E5A99D9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Bankscope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4B3446" w:rsidRPr="004B3446" w14:paraId="444037BF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B4CFE5C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Fonts w:asciiTheme="majorBidi" w:hAnsiTheme="majorBidi" w:cstheme="majorBidi"/>
                <w:sz w:val="20"/>
                <w:szCs w:val="20"/>
              </w:rPr>
              <w:t>credit risk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3C71638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Non-performing loans/total loans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17AC337E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Bankscope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4B3446" w:rsidRPr="004B3446" w14:paraId="4C9DDF5E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EA78575" w14:textId="77777777" w:rsidR="004B3446" w:rsidRPr="004B3446" w:rsidRDefault="004B3446" w:rsidP="005177DC">
            <w:pPr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Efficiency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BB7C900" w14:textId="77777777" w:rsidR="004B3446" w:rsidRPr="004B3446" w:rsidRDefault="004B3446" w:rsidP="005177DC">
            <w:pPr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Cost/total income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44A6C344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Bankscope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4B3446" w:rsidRPr="004B3446" w14:paraId="719FF87A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F8F06EB" w14:textId="77777777" w:rsidR="004B3446" w:rsidRPr="004B3446" w:rsidRDefault="004B3446" w:rsidP="005177DC">
            <w:pPr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 xml:space="preserve">GDP per capita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D09432F" w14:textId="77777777" w:rsidR="004B3446" w:rsidRPr="004B3446" w:rsidRDefault="004B3446" w:rsidP="005177DC">
            <w:pPr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Annual GDP per capita growth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37632570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WDI</w:t>
            </w:r>
          </w:p>
        </w:tc>
      </w:tr>
      <w:tr w:rsidR="004B3446" w:rsidRPr="004B3446" w14:paraId="3DB64699" w14:textId="77777777" w:rsidTr="005177DC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10C4267" w14:textId="77777777" w:rsidR="004B3446" w:rsidRPr="004B3446" w:rsidRDefault="004B3446" w:rsidP="005177DC">
            <w:pPr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Inflation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E5C3A6A" w14:textId="77777777" w:rsidR="004B3446" w:rsidRPr="004B3446" w:rsidRDefault="004B3446" w:rsidP="005177DC">
            <w:pPr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4B3446">
              <w:rPr>
                <w:rFonts w:asciiTheme="majorBidi" w:eastAsia="CharisSIL" w:hAnsiTheme="majorBidi" w:cstheme="majorBidi"/>
                <w:sz w:val="20"/>
                <w:szCs w:val="20"/>
              </w:rPr>
              <w:t>Consumer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 xml:space="preserve">​ </w:t>
            </w:r>
            <w:r w:rsidRPr="004B3446">
              <w:rPr>
                <w:rFonts w:asciiTheme="majorBidi" w:eastAsia="CharisSIL" w:hAnsiTheme="majorBidi" w:cstheme="majorBidi"/>
                <w:sz w:val="20"/>
                <w:szCs w:val="20"/>
              </w:rPr>
              <w:t xml:space="preserve">Price 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>​</w:t>
            </w:r>
            <w:r w:rsidRPr="004B3446">
              <w:rPr>
                <w:rFonts w:asciiTheme="majorBidi" w:eastAsia="CharisSIL" w:hAnsiTheme="majorBidi" w:cstheme="majorBidi"/>
                <w:sz w:val="20"/>
                <w:szCs w:val="20"/>
              </w:rPr>
              <w:t xml:space="preserve">Index 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>​(</w:t>
            </w:r>
            <w:r w:rsidRPr="004B3446">
              <w:rPr>
                <w:rFonts w:asciiTheme="majorBidi" w:eastAsia="CharisSIL" w:hAnsiTheme="majorBidi" w:cstheme="majorBidi"/>
                <w:sz w:val="20"/>
                <w:szCs w:val="20"/>
              </w:rPr>
              <w:t>CPI</w:t>
            </w:r>
            <w:r w:rsidRPr="004B344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6339DBE8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WDI</w:t>
            </w:r>
          </w:p>
        </w:tc>
      </w:tr>
      <w:tr w:rsidR="004B3446" w:rsidRPr="004B3446" w14:paraId="3734A777" w14:textId="77777777" w:rsidTr="005177DC"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F23F7" w14:textId="77777777" w:rsidR="004B3446" w:rsidRPr="004B3446" w:rsidRDefault="004B3446" w:rsidP="005177DC">
            <w:pPr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Crisis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3800B" w14:textId="77777777" w:rsidR="004B3446" w:rsidRPr="004B3446" w:rsidRDefault="004B3446" w:rsidP="005177DC">
            <w:pPr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A binary indicator that equals one for 2007-2012 that captures both the global financial crisis of 2007-2009 and the sovereign debt crisis of 2010-2012; and zero otherwise.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3DA25" w14:textId="77777777" w:rsidR="004B3446" w:rsidRPr="004B3446" w:rsidRDefault="004B3446" w:rsidP="005177D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344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WDI</w:t>
            </w:r>
          </w:p>
        </w:tc>
      </w:tr>
    </w:tbl>
    <w:p w14:paraId="7A095AE4" w14:textId="77777777" w:rsidR="004B3446" w:rsidRPr="004B3446" w:rsidRDefault="004B3446" w:rsidP="004B3446">
      <w:pPr>
        <w:rPr>
          <w:rFonts w:ascii="Garamond" w:hAnsi="Garamond" w:cs="Times New Roman"/>
          <w:b/>
          <w:bCs/>
          <w:sz w:val="16"/>
          <w:szCs w:val="16"/>
        </w:rPr>
      </w:pPr>
    </w:p>
    <w:p w14:paraId="53F0D4CA" w14:textId="77777777" w:rsidR="004B3446" w:rsidRPr="004B3446" w:rsidRDefault="004B3446" w:rsidP="004B3446">
      <w:pPr>
        <w:tabs>
          <w:tab w:val="left" w:pos="844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D9B68BD" w14:textId="15C64FED" w:rsidR="00110104" w:rsidRPr="004B3446" w:rsidRDefault="0011010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10104" w:rsidRPr="004B3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UnicodeMS">
    <w:altName w:val="Arial"/>
    <w:panose1 w:val="00000000000000000000"/>
    <w:charset w:val="00"/>
    <w:family w:val="roman"/>
    <w:notTrueType/>
    <w:pitch w:val="default"/>
  </w:font>
  <w:font w:name="CharisSIL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46"/>
    <w:rsid w:val="00110104"/>
    <w:rsid w:val="0021090F"/>
    <w:rsid w:val="00220E4E"/>
    <w:rsid w:val="003A76DF"/>
    <w:rsid w:val="004B3446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01F21"/>
  <w15:chartTrackingRefBased/>
  <w15:docId w15:val="{AA644E0E-8936-4942-934D-BA68E169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44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B3446"/>
    <w:rPr>
      <w:rFonts w:ascii="ArialUnicodeMS" w:hAnsi="ArialUnicodeMS" w:hint="default"/>
      <w:b w:val="0"/>
      <w:bCs w:val="0"/>
      <w:i w:val="0"/>
      <w:iCs w:val="0"/>
      <w:color w:val="333666"/>
      <w:sz w:val="18"/>
      <w:szCs w:val="18"/>
    </w:rPr>
  </w:style>
  <w:style w:type="table" w:styleId="TableGrid">
    <w:name w:val="Table Grid"/>
    <w:basedOn w:val="TableNormal"/>
    <w:uiPriority w:val="39"/>
    <w:rsid w:val="004B3446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>Springer Nature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2024-05-02T15:32:00Z</dcterms:created>
  <dcterms:modified xsi:type="dcterms:W3CDTF">2024-05-02T15:37:00Z</dcterms:modified>
</cp:coreProperties>
</file>