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811" w:firstLineChars="1000"/>
        <w:jc w:val="both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Data Sharing Statement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Data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Data available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Yes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Data types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Deidentified participant data, Other (please specify)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Additional Information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baseline data before </w:t>
      </w:r>
      <w:r>
        <w:rPr>
          <w:rFonts w:hint="eastAsia" w:ascii="Segoe UI" w:hAnsi="Segoe UI" w:eastAsia="Segoe UI" w:cs="Segoe UI"/>
          <w:i w:val="0"/>
          <w:caps w:val="0"/>
          <w:color w:val="101214"/>
          <w:spacing w:val="0"/>
          <w:sz w:val="21"/>
          <w:szCs w:val="21"/>
        </w:rPr>
        <w:t>platelets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transfusion, relevant clinical treatment measures, changes of clinical status during study period, results of laboratory testing and clinical outcomes within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72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Segoe UI" w:hAnsi="Segoe UI" w:eastAsia="Segoe UI" w:cs="Segoe UI"/>
          <w:i w:val="0"/>
          <w:caps w:val="0"/>
          <w:color w:val="101214"/>
          <w:spacing w:val="0"/>
          <w:sz w:val="21"/>
          <w:szCs w:val="21"/>
        </w:rPr>
        <w:t>hours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of enrollment.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How to access data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yjc65@sina.com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When available: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With publication </w:t>
      </w: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Supporting Documents </w:t>
      </w: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Document types: None </w:t>
      </w: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Additional Information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Who can access the data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yjc65@sina.com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Types of analyses: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NA 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Mechanisms of data availability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: NA </w:t>
      </w:r>
    </w:p>
    <w:p>
      <w:pPr>
        <w:spacing w:line="360" w:lineRule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Any additional restrictions</w:t>
      </w:r>
      <w:r>
        <w:rPr>
          <w:rFonts w:hint="default" w:ascii="Times New Roman" w:hAnsi="Times New Roman" w:eastAsia="宋体" w:cs="Times New Roman"/>
          <w:sz w:val="24"/>
          <w:szCs w:val="24"/>
        </w:rPr>
        <w:t>: N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A97AEB"/>
    <w:rsid w:val="5857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2022-11-24T00:08:00Z</dcterms:created>
  <dc:creator>lenovo</dc:creator>
  <cp:lastModifiedBy>lenovo</cp:lastModifiedBy>
  <dcterms:modified xsi:type="dcterms:W3CDTF">2023-12-26T08:59:58Z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FB78E1158E584F7A972FBEBD5141F3AC</vt:lpwstr>
  </property>
</Properties>
</file>