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Times New Roman" w:hAnsi="Times New Roman" w:eastAsia="黑体" w:cs="Times New Roman"/>
          <w:b/>
          <w:sz w:val="24"/>
          <w:highlight w:val="none"/>
          <w:u w:val="none"/>
        </w:rPr>
      </w:pPr>
    </w:p>
    <w:p>
      <w:pPr>
        <w:spacing w:line="360" w:lineRule="auto"/>
        <w:jc w:val="both"/>
        <w:rPr>
          <w:rFonts w:ascii="Times New Roman" w:hAnsi="Times New Roman" w:eastAsia="黑体" w:cs="Times New Roman"/>
          <w:b/>
          <w:bCs w:val="0"/>
          <w:color w:val="auto"/>
          <w:sz w:val="24"/>
          <w:szCs w:val="24"/>
          <w:highlight w:val="none"/>
          <w:u w:val="none"/>
        </w:rPr>
      </w:pPr>
    </w:p>
    <w:p>
      <w:pPr>
        <w:spacing w:line="240" w:lineRule="auto"/>
        <w:jc w:val="center"/>
        <w:outlineLvl w:val="9"/>
        <w:rPr>
          <w:rFonts w:hint="default" w:ascii="Times New Roman" w:hAnsi="Times New Roman" w:eastAsia="黑体" w:cs="Times New Roman"/>
          <w:b/>
          <w:color w:val="auto"/>
          <w:sz w:val="21"/>
          <w:szCs w:val="21"/>
          <w:highlight w:val="none"/>
          <w:u w:val="none"/>
        </w:rPr>
      </w:pPr>
      <w:bookmarkStart w:id="0" w:name="OLE_LINK3"/>
      <w:bookmarkStart w:id="1" w:name="OLE_LINK2"/>
      <w:r>
        <w:rPr>
          <w:rFonts w:hint="default" w:ascii="Times New Roman" w:hAnsi="Times New Roman" w:eastAsia="黑体" w:cs="Times New Roman"/>
          <w:b/>
          <w:color w:val="auto"/>
          <w:sz w:val="21"/>
          <w:szCs w:val="21"/>
          <w:highlight w:val="none"/>
          <w:u w:val="none"/>
        </w:rPr>
        <w:t xml:space="preserve">The clinical efficacy of </w:t>
      </w:r>
      <w:r>
        <w:rPr>
          <w:rFonts w:hint="eastAsia" w:ascii="Times New Roman" w:hAnsi="Times New Roman" w:eastAsia="黑体" w:cs="Times New Roman"/>
          <w:b/>
          <w:color w:val="auto"/>
          <w:sz w:val="21"/>
          <w:szCs w:val="21"/>
          <w:highlight w:val="none"/>
          <w:u w:val="none"/>
        </w:rPr>
        <w:t>4℃</w:t>
      </w:r>
      <w:r>
        <w:rPr>
          <w:rFonts w:hint="default" w:ascii="Times New Roman" w:hAnsi="Times New Roman" w:eastAsia="黑体" w:cs="Times New Roman"/>
          <w:b/>
          <w:color w:val="auto"/>
          <w:sz w:val="21"/>
          <w:szCs w:val="21"/>
          <w:highlight w:val="none"/>
          <w:u w:val="none"/>
        </w:rPr>
        <w:t xml:space="preserve"> </w:t>
      </w:r>
      <w:r>
        <w:rPr>
          <w:rFonts w:hint="eastAsia" w:ascii="Times New Roman" w:hAnsi="Times New Roman" w:eastAsia="黑体" w:cs="Times New Roman"/>
          <w:b/>
          <w:color w:val="auto"/>
          <w:sz w:val="21"/>
          <w:szCs w:val="21"/>
          <w:highlight w:val="none"/>
          <w:u w:val="none"/>
        </w:rPr>
        <w:t>Stored</w:t>
      </w:r>
      <w:r>
        <w:rPr>
          <w:rFonts w:hint="eastAsia" w:ascii="Times New Roman" w:hAnsi="Times New Roman" w:eastAsia="黑体" w:cs="Times New Roman"/>
          <w:b/>
          <w:color w:val="auto"/>
          <w:sz w:val="21"/>
          <w:szCs w:val="21"/>
          <w:highlight w:val="none"/>
          <w:u w:val="none"/>
          <w:lang w:val="en-US" w:eastAsia="zh-CN"/>
        </w:rPr>
        <w:t xml:space="preserve"> </w:t>
      </w:r>
      <w:r>
        <w:rPr>
          <w:rFonts w:hint="default" w:ascii="Times New Roman" w:hAnsi="Times New Roman" w:eastAsia="黑体" w:cs="Times New Roman"/>
          <w:b/>
          <w:color w:val="auto"/>
          <w:sz w:val="21"/>
          <w:szCs w:val="21"/>
          <w:highlight w:val="none"/>
          <w:u w:val="none"/>
        </w:rPr>
        <w:t>platelet</w:t>
      </w:r>
      <w:bookmarkEnd w:id="0"/>
      <w:r>
        <w:rPr>
          <w:rFonts w:hint="default" w:ascii="Times New Roman" w:hAnsi="Times New Roman" w:eastAsia="黑体" w:cs="Times New Roman"/>
          <w:b/>
          <w:color w:val="auto"/>
          <w:sz w:val="21"/>
          <w:szCs w:val="21"/>
          <w:highlight w:val="none"/>
          <w:u w:val="none"/>
        </w:rPr>
        <w:t>: a randomized</w:t>
      </w:r>
    </w:p>
    <w:p>
      <w:pPr>
        <w:spacing w:line="240" w:lineRule="auto"/>
        <w:jc w:val="center"/>
        <w:outlineLvl w:val="9"/>
        <w:rPr>
          <w:rFonts w:hint="default" w:ascii="Times New Roman" w:hAnsi="Times New Roman" w:eastAsia="黑体" w:cs="Times New Roman"/>
          <w:b/>
          <w:color w:val="auto"/>
          <w:sz w:val="21"/>
          <w:szCs w:val="21"/>
          <w:highlight w:val="none"/>
          <w:u w:val="none"/>
        </w:rPr>
      </w:pPr>
      <w:r>
        <w:rPr>
          <w:rFonts w:hint="default" w:ascii="Times New Roman" w:hAnsi="Times New Roman" w:eastAsia="黑体" w:cs="Times New Roman"/>
          <w:b/>
          <w:color w:val="auto"/>
          <w:sz w:val="21"/>
          <w:szCs w:val="21"/>
          <w:highlight w:val="none"/>
          <w:u w:val="none"/>
        </w:rPr>
        <w:t>controlled feasibility trial</w:t>
      </w:r>
      <w:r>
        <w:rPr>
          <w:rFonts w:hint="eastAsia" w:ascii="Times New Roman" w:hAnsi="Times New Roman" w:eastAsia="黑体" w:cs="Times New Roman"/>
          <w:b/>
          <w:color w:val="auto"/>
          <w:sz w:val="21"/>
          <w:szCs w:val="21"/>
          <w:highlight w:val="none"/>
          <w:u w:val="none"/>
          <w:lang w:val="en-US" w:eastAsia="zh-CN"/>
        </w:rPr>
        <w:t xml:space="preserve"> </w:t>
      </w:r>
      <w:r>
        <w:rPr>
          <w:rFonts w:hint="default" w:ascii="Times New Roman" w:hAnsi="Times New Roman" w:eastAsia="黑体" w:cs="Times New Roman"/>
          <w:b/>
          <w:color w:val="auto"/>
          <w:sz w:val="21"/>
          <w:szCs w:val="21"/>
          <w:highlight w:val="none"/>
          <w:u w:val="none"/>
        </w:rPr>
        <w:t>conducted in surgical patients with related bleeding</w:t>
      </w:r>
    </w:p>
    <w:bookmarkEnd w:id="1"/>
    <w:p>
      <w:pPr>
        <w:spacing w:line="360" w:lineRule="auto"/>
        <w:ind w:firstLine="2650" w:firstLineChars="1100"/>
        <w:jc w:val="both"/>
        <w:rPr>
          <w:rFonts w:ascii="Times New Roman" w:hAnsi="Times New Roman" w:eastAsia="黑体" w:cs="Times New Roman"/>
          <w:b/>
          <w:bCs w:val="0"/>
          <w:sz w:val="24"/>
          <w:szCs w:val="24"/>
          <w:u w:val="none"/>
        </w:rPr>
      </w:pPr>
      <w:r>
        <w:rPr>
          <w:rFonts w:ascii="Times New Roman" w:hAnsi="Times New Roman" w:eastAsia="黑体" w:cs="Times New Roman"/>
          <w:b/>
          <w:bCs w:val="0"/>
          <w:sz w:val="24"/>
          <w:szCs w:val="24"/>
          <w:u w:val="none"/>
        </w:rPr>
        <w:t xml:space="preserve">(partial translation) </w:t>
      </w:r>
    </w:p>
    <w:p>
      <w:pPr>
        <w:spacing w:line="360" w:lineRule="auto"/>
        <w:jc w:val="both"/>
        <w:rPr>
          <w:rFonts w:ascii="Times New Roman" w:hAnsi="Times New Roman" w:eastAsia="黑体" w:cs="Times New Roman"/>
          <w:b/>
          <w:bCs w:val="0"/>
          <w:sz w:val="24"/>
          <w:szCs w:val="24"/>
          <w:u w:val="single"/>
        </w:rPr>
      </w:pPr>
    </w:p>
    <w:p>
      <w:pPr>
        <w:spacing w:line="360" w:lineRule="auto"/>
        <w:jc w:val="both"/>
        <w:rPr>
          <w:rFonts w:ascii="Times New Roman" w:hAnsi="Times New Roman" w:eastAsia="黑体" w:cs="Times New Roman"/>
          <w:b/>
          <w:bCs w:val="0"/>
          <w:sz w:val="24"/>
          <w:szCs w:val="24"/>
          <w:u w:val="single"/>
        </w:rPr>
      </w:pPr>
    </w:p>
    <w:p>
      <w:pPr>
        <w:spacing w:line="360" w:lineRule="auto"/>
        <w:ind w:firstLine="2650" w:firstLineChars="1100"/>
        <w:jc w:val="both"/>
        <w:outlineLvl w:val="0"/>
        <w:rPr>
          <w:rFonts w:ascii="Times New Roman" w:hAnsi="Times New Roman" w:eastAsia="黑体" w:cs="Times New Roman"/>
          <w:b/>
          <w:bCs w:val="0"/>
          <w:sz w:val="24"/>
          <w:szCs w:val="24"/>
          <w:u w:val="none"/>
        </w:rPr>
      </w:pPr>
      <w:r>
        <w:rPr>
          <w:rFonts w:ascii="Times New Roman" w:hAnsi="Times New Roman" w:eastAsia="黑体" w:cs="Times New Roman"/>
          <w:b/>
          <w:bCs w:val="0"/>
          <w:sz w:val="24"/>
          <w:szCs w:val="24"/>
          <w:u w:val="none"/>
        </w:rPr>
        <w:t xml:space="preserve">No˖ </w:t>
      </w:r>
      <w:r>
        <w:rPr>
          <w:rFonts w:ascii="Times New Roman" w:hAnsi="Times New Roman" w:eastAsia="宋体" w:cs="Times New Roman"/>
          <w:sz w:val="24"/>
        </w:rPr>
        <w:t>ChiCTR2000036353</w:t>
      </w:r>
    </w:p>
    <w:p>
      <w:pPr>
        <w:spacing w:line="360" w:lineRule="auto"/>
        <w:ind w:firstLine="2650" w:firstLineChars="1100"/>
        <w:jc w:val="both"/>
        <w:rPr>
          <w:rFonts w:ascii="Times New Roman" w:hAnsi="Times New Roman" w:eastAsia="黑体" w:cs="Times New Roman"/>
          <w:b/>
          <w:bCs w:val="0"/>
          <w:sz w:val="24"/>
          <w:szCs w:val="24"/>
          <w:u w:val="none"/>
        </w:rPr>
      </w:pPr>
      <w:r>
        <w:rPr>
          <w:rFonts w:ascii="Times New Roman" w:hAnsi="Times New Roman" w:eastAsia="黑体" w:cs="Times New Roman"/>
          <w:b/>
          <w:bCs w:val="0"/>
          <w:sz w:val="24"/>
          <w:szCs w:val="24"/>
          <w:u w:val="none"/>
        </w:rPr>
        <w:t xml:space="preserve">Date˖ </w:t>
      </w:r>
      <w:r>
        <w:rPr>
          <w:rFonts w:hint="eastAsia" w:ascii="Times New Roman" w:hAnsi="Times New Roman" w:eastAsia="黑体" w:cs="Times New Roman"/>
          <w:b/>
          <w:bCs w:val="0"/>
          <w:sz w:val="24"/>
          <w:szCs w:val="24"/>
          <w:u w:val="none"/>
          <w:lang w:val="en-US" w:eastAsia="zh-CN"/>
        </w:rPr>
        <w:t>07</w:t>
      </w:r>
      <w:r>
        <w:rPr>
          <w:rFonts w:ascii="Times New Roman" w:hAnsi="Times New Roman" w:eastAsia="宋体" w:cs="Times New Roman"/>
          <w:b w:val="0"/>
          <w:bCs w:val="0"/>
          <w:sz w:val="24"/>
          <w:szCs w:val="24"/>
          <w:u w:val="none"/>
        </w:rPr>
        <w:t xml:space="preserve"> </w:t>
      </w:r>
      <w:r>
        <w:rPr>
          <w:rFonts w:hint="eastAsia" w:ascii="Times New Roman" w:hAnsi="Times New Roman" w:eastAsia="宋体" w:cs="Times New Roman"/>
          <w:b w:val="0"/>
          <w:bCs w:val="0"/>
          <w:sz w:val="24"/>
          <w:szCs w:val="24"/>
          <w:u w:val="none"/>
          <w:lang w:val="en-US" w:eastAsia="zh-CN"/>
        </w:rPr>
        <w:t>Sept</w:t>
      </w:r>
      <w:r>
        <w:rPr>
          <w:rFonts w:ascii="Times New Roman" w:hAnsi="Times New Roman" w:eastAsia="宋体" w:cs="Times New Roman"/>
          <w:b w:val="0"/>
          <w:bCs w:val="0"/>
          <w:sz w:val="24"/>
          <w:szCs w:val="24"/>
          <w:u w:val="none"/>
        </w:rPr>
        <w:t>. 2020</w:t>
      </w: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ind w:firstLine="0" w:firstLineChars="0"/>
        <w:rPr>
          <w:rFonts w:ascii="Times New Roman" w:hAnsi="Times New Roman" w:eastAsia="黑体" w:cs="Times New Roman"/>
          <w:b/>
          <w:sz w:val="24"/>
          <w:highlight w:val="none"/>
          <w:u w:val="none"/>
        </w:rPr>
      </w:pPr>
    </w:p>
    <w:p>
      <w:pPr>
        <w:numPr>
          <w:ilvl w:val="0"/>
          <w:numId w:val="1"/>
        </w:numPr>
        <w:spacing w:line="360" w:lineRule="auto"/>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Research objective</w:t>
      </w:r>
    </w:p>
    <w:p>
      <w:pPr>
        <w:numPr>
          <w:ilvl w:val="0"/>
          <w:numId w:val="0"/>
        </w:numPr>
        <w:spacing w:line="360" w:lineRule="auto"/>
        <w:jc w:val="both"/>
        <w:rPr>
          <w:rFonts w:hint="default" w:ascii="Times New Roman" w:hAnsi="Times New Roman" w:cs="Times New Roman"/>
          <w:sz w:val="20"/>
          <w:szCs w:val="20"/>
          <w:lang w:val="en-US" w:eastAsia="zh-CN"/>
        </w:rPr>
      </w:pPr>
      <w:r>
        <w:rPr>
          <w:rFonts w:ascii="Times New Roman" w:hAnsi="Times New Roman" w:cs="Times New Roman"/>
          <w:sz w:val="20"/>
          <w:szCs w:val="20"/>
        </w:rPr>
        <w:t>Aimed for</w:t>
      </w:r>
      <w:r>
        <w:rPr>
          <w:rFonts w:hint="default" w:ascii="Times New Roman" w:hAnsi="Times New Roman" w:cs="Times New Roman"/>
          <w:sz w:val="20"/>
          <w:szCs w:val="20"/>
          <w:lang w:val="en-US" w:eastAsia="zh-CN"/>
        </w:rPr>
        <w:t xml:space="preserve"> solving the problem of clinical platelet shortage, this project provides a basis for the clinical application of refrigerated platelets at 4℃ by observing the clinical application effect of 4℃ refrigerated platelets in patients with major vascular injury or organ injury, trauma, surgical hemorrhage, obstetric hemorrhage, massive blood transfusion with active hemorrhage.</w:t>
      </w:r>
    </w:p>
    <w:p>
      <w:pPr>
        <w:numPr>
          <w:ilvl w:val="0"/>
          <w:numId w:val="1"/>
        </w:numPr>
        <w:spacing w:line="360" w:lineRule="auto"/>
        <w:ind w:left="0" w:leftChars="0" w:firstLine="0" w:firstLine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Research methods</w:t>
      </w:r>
    </w:p>
    <w:p>
      <w:pPr>
        <w:numPr>
          <w:ilvl w:val="-1"/>
          <w:numId w:val="0"/>
        </w:numPr>
        <w:spacing w:line="360" w:lineRule="auto"/>
        <w:ind w:left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2.1 Study design</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This study was a randomized, controlled, double-blind (RCT) prospective clinical study. The platelets in the control group were stored at 22℃, and the platelets in the experimental group were stored in cold storage at 4℃. The randomization and blind experiment of the study subjects blinded both the subjects and clinical medical staff. The statistical analysis was unblinded after completion.</w:t>
      </w:r>
    </w:p>
    <w:p>
      <w:pPr>
        <w:numPr>
          <w:ilvl w:val="0"/>
          <w:numId w:val="0"/>
        </w:numPr>
        <w:spacing w:line="360" w:lineRule="auto"/>
        <w:ind w:left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2.2 Randomization and blinding</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According to the inclusion and exclusion criteria, the study subjects were included first the patients or their family members were signed with consent and then randomly numbered.</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Double blindness: Subjects and clinical staff are double blind.</w:t>
      </w:r>
    </w:p>
    <w:p>
      <w:pPr>
        <w:numPr>
          <w:ilvl w:val="0"/>
          <w:numId w:val="0"/>
        </w:numPr>
        <w:spacing w:line="360" w:lineRule="auto"/>
        <w:ind w:leftChars="0"/>
        <w:jc w:val="both"/>
        <w:rPr>
          <w:rFonts w:hint="eastAsia"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Randomization: Patients were randomly divided into experimental group and control group by random number method. Clinicians evaluated whether the patients met the inclusion criteria according to their clinical conditions. Then, </w:t>
      </w:r>
      <w:r>
        <w:rPr>
          <w:rFonts w:ascii="Times New Roman" w:hAnsi="Times New Roman" w:cs="Times New Roman"/>
          <w:sz w:val="20"/>
          <w:szCs w:val="20"/>
        </w:rPr>
        <w:t>the purpose</w:t>
      </w:r>
      <w:r>
        <w:rPr>
          <w:rFonts w:hint="default" w:ascii="Times New Roman" w:hAnsi="Times New Roman" w:cs="Times New Roman"/>
          <w:sz w:val="20"/>
          <w:szCs w:val="20"/>
          <w:lang w:val="en-US" w:eastAsia="zh-CN"/>
        </w:rPr>
        <w:t xml:space="preserve"> of the project was explained to the subjects. The subjects gave their informed consent and were willing to participate in the study and signed the informed consent form for the follow-up study. The clinician will contact the blood transfusion staff and apply for platelets and other blood products. The blood dispenser in the blood transfusion department</w:t>
      </w:r>
      <w:r>
        <w:rPr>
          <w:rFonts w:hint="eastAsia" w:ascii="Times New Roman" w:hAnsi="Times New Roman" w:cs="Times New Roman"/>
          <w:sz w:val="20"/>
          <w:szCs w:val="20"/>
          <w:lang w:val="en-US" w:eastAsia="zh-CN"/>
        </w:rPr>
        <w:t xml:space="preserve"> will</w:t>
      </w:r>
      <w:r>
        <w:rPr>
          <w:rFonts w:hint="default" w:ascii="Times New Roman" w:hAnsi="Times New Roman" w:cs="Times New Roman"/>
          <w:sz w:val="20"/>
          <w:szCs w:val="20"/>
          <w:lang w:val="en-US" w:eastAsia="zh-CN"/>
        </w:rPr>
        <w:t xml:space="preserve"> distributes platelets according to the number of random number method in advance.</w:t>
      </w:r>
      <w:r>
        <w:rPr>
          <w:rFonts w:hint="default" w:ascii="Times New Roman" w:hAnsi="Times New Roman" w:cs="Times New Roman"/>
          <w:sz w:val="20"/>
          <w:szCs w:val="20"/>
        </w:rPr>
        <w:t>In order to ensure the same temperature of platelets, the refrigerated platelets were removed and placed at room temperature before being used</w:t>
      </w:r>
      <w:r>
        <w:rPr>
          <w:rFonts w:hint="eastAsia" w:ascii="Times New Roman" w:hAnsi="Times New Roman" w:cs="Times New Roman"/>
          <w:sz w:val="20"/>
          <w:szCs w:val="20"/>
          <w:lang w:val="en-US" w:eastAsia="zh-CN"/>
        </w:rPr>
        <w:t>.</w:t>
      </w:r>
    </w:p>
    <w:p>
      <w:pPr>
        <w:numPr>
          <w:ilvl w:val="0"/>
          <w:numId w:val="0"/>
        </w:numPr>
        <w:spacing w:line="360" w:lineRule="auto"/>
        <w:ind w:leftChars="0"/>
        <w:jc w:val="both"/>
        <w:rPr>
          <w:rFonts w:hint="eastAsia" w:ascii="Times New Roman" w:hAnsi="Times New Roman" w:cs="Times New Roman"/>
          <w:sz w:val="20"/>
          <w:szCs w:val="20"/>
          <w:lang w:val="en-US" w:eastAsia="zh-CN"/>
        </w:rPr>
      </w:pPr>
      <w:r>
        <w:rPr>
          <w:rFonts w:hint="default" w:ascii="Times New Roman" w:hAnsi="Times New Roman" w:cs="Times New Roman" w:eastAsiaTheme="minorEastAsia"/>
          <w:color w:val="auto"/>
          <w:sz w:val="20"/>
          <w:szCs w:val="20"/>
          <w:highlight w:val="none"/>
        </w:rPr>
        <w:t xml:space="preserve">Double-blind guarantee mechanism: Three </w:t>
      </w:r>
      <w:r>
        <w:rPr>
          <w:rFonts w:ascii="Times New Roman" w:hAnsi="Times New Roman" w:cs="Times New Roman" w:eastAsiaTheme="minorEastAsia"/>
          <w:color w:val="auto"/>
          <w:sz w:val="20"/>
          <w:szCs w:val="20"/>
          <w:highlight w:val="none"/>
        </w:rPr>
        <w:t>emergency surgery department</w:t>
      </w:r>
      <w:r>
        <w:rPr>
          <w:rFonts w:hint="default" w:ascii="Times New Roman" w:hAnsi="Times New Roman" w:cs="Times New Roman" w:eastAsiaTheme="minorEastAsia"/>
          <w:color w:val="auto"/>
          <w:sz w:val="20"/>
          <w:szCs w:val="20"/>
          <w:highlight w:val="none"/>
        </w:rPr>
        <w:t>s</w:t>
      </w:r>
      <w:r>
        <w:rPr>
          <w:rFonts w:ascii="Times New Roman" w:hAnsi="Times New Roman" w:cs="Times New Roman" w:eastAsiaTheme="minorEastAsia"/>
          <w:color w:val="auto"/>
          <w:sz w:val="20"/>
          <w:szCs w:val="20"/>
          <w:highlight w:val="none"/>
        </w:rPr>
        <w:t>:</w:t>
      </w:r>
      <w:r>
        <w:rPr>
          <w:rFonts w:hint="default" w:ascii="Times New Roman" w:hAnsi="Times New Roman" w:cs="Times New Roman" w:eastAsiaTheme="minorEastAsia"/>
          <w:color w:val="auto"/>
          <w:sz w:val="20"/>
          <w:szCs w:val="20"/>
          <w:highlight w:val="none"/>
        </w:rPr>
        <w:t xml:space="preserve"> cardiac</w:t>
      </w:r>
      <w:r>
        <w:rPr>
          <w:rFonts w:ascii="Times New Roman" w:hAnsi="Times New Roman" w:cs="Times New Roman" w:eastAsiaTheme="minorEastAsia"/>
          <w:color w:val="auto"/>
          <w:sz w:val="20"/>
          <w:szCs w:val="20"/>
          <w:highlight w:val="none"/>
        </w:rPr>
        <w:t>,</w:t>
      </w:r>
      <w:r>
        <w:rPr>
          <w:rFonts w:hint="default" w:ascii="Times New Roman" w:hAnsi="Times New Roman" w:cs="Times New Roman" w:eastAsiaTheme="minorEastAsia"/>
          <w:color w:val="auto"/>
          <w:sz w:val="20"/>
          <w:szCs w:val="20"/>
          <w:highlight w:val="none"/>
        </w:rPr>
        <w:t xml:space="preserve"> surgery and obstetrics participated in the study, and unified numbering was carried out. Subjects were numbered according to the order of platelet application. The appearance and preparation methods of platelets in the two groups were consistent. The preparation date and expiration date of platelets were all </w:t>
      </w:r>
      <w:r>
        <w:rPr>
          <w:rFonts w:ascii="Times New Roman" w:hAnsi="Times New Roman" w:cs="Times New Roman" w:eastAsiaTheme="minorEastAsia"/>
          <w:color w:val="auto"/>
          <w:sz w:val="20"/>
          <w:szCs w:val="20"/>
          <w:highlight w:val="none"/>
        </w:rPr>
        <w:t>covered and hidden</w:t>
      </w:r>
      <w:r>
        <w:rPr>
          <w:rFonts w:hint="default" w:ascii="Times New Roman" w:hAnsi="Times New Roman" w:cs="Times New Roman" w:eastAsiaTheme="minorEastAsia"/>
          <w:color w:val="auto"/>
          <w:sz w:val="20"/>
          <w:szCs w:val="20"/>
          <w:highlight w:val="none"/>
        </w:rPr>
        <w:t xml:space="preserve"> to ensure </w:t>
      </w:r>
      <w:r>
        <w:rPr>
          <w:rFonts w:ascii="Times New Roman" w:hAnsi="Times New Roman" w:cs="Times New Roman" w:eastAsiaTheme="minorEastAsia"/>
          <w:color w:val="auto"/>
          <w:sz w:val="20"/>
          <w:szCs w:val="20"/>
          <w:highlight w:val="none"/>
        </w:rPr>
        <w:t>the same packaging look</w:t>
      </w:r>
      <w:r>
        <w:rPr>
          <w:rFonts w:hint="default" w:ascii="Times New Roman" w:hAnsi="Times New Roman" w:cs="Times New Roman" w:eastAsiaTheme="minorEastAsia"/>
          <w:color w:val="auto"/>
          <w:sz w:val="20"/>
          <w:szCs w:val="20"/>
          <w:highlight w:val="none"/>
        </w:rPr>
        <w:t>. The platelet report form issued by the blood transfusion department was filled in manually to avoid the use of blood transfusion distribution software and expose the platelet preservation method. Platelet distribution personnel in the blood transfusion department sign</w:t>
      </w:r>
      <w:r>
        <w:rPr>
          <w:rFonts w:ascii="Times New Roman" w:hAnsi="Times New Roman" w:cs="Times New Roman" w:eastAsiaTheme="minorEastAsia"/>
          <w:color w:val="auto"/>
          <w:sz w:val="20"/>
          <w:szCs w:val="20"/>
          <w:highlight w:val="none"/>
        </w:rPr>
        <w:t>ed</w:t>
      </w:r>
      <w:r>
        <w:rPr>
          <w:rFonts w:hint="default" w:ascii="Times New Roman" w:hAnsi="Times New Roman" w:cs="Times New Roman" w:eastAsiaTheme="minorEastAsia"/>
          <w:color w:val="auto"/>
          <w:sz w:val="20"/>
          <w:szCs w:val="20"/>
          <w:highlight w:val="none"/>
        </w:rPr>
        <w:t xml:space="preserve"> a confidentiality agreement to ensure that the clinical research process </w:t>
      </w:r>
      <w:r>
        <w:rPr>
          <w:rFonts w:ascii="Times New Roman" w:hAnsi="Times New Roman" w:cs="Times New Roman" w:eastAsiaTheme="minorEastAsia"/>
          <w:color w:val="auto"/>
          <w:sz w:val="20"/>
          <w:szCs w:val="20"/>
          <w:highlight w:val="none"/>
          <w:u w:val="none"/>
        </w:rPr>
        <w:t>was blind</w:t>
      </w:r>
      <w:r>
        <w:rPr>
          <w:rFonts w:hint="default" w:ascii="Times New Roman" w:hAnsi="Times New Roman" w:cs="Times New Roman" w:eastAsiaTheme="minorEastAsia"/>
          <w:color w:val="auto"/>
          <w:sz w:val="20"/>
          <w:szCs w:val="20"/>
          <w:highlight w:val="none"/>
        </w:rPr>
        <w:t>.</w:t>
      </w:r>
    </w:p>
    <w:p>
      <w:pPr>
        <w:numPr>
          <w:ilvl w:val="0"/>
          <w:numId w:val="0"/>
        </w:numPr>
        <w:spacing w:line="360" w:lineRule="auto"/>
        <w:ind w:left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2.3 Platelet transfusion</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Platelet transfusion </w:t>
      </w:r>
      <w:r>
        <w:rPr>
          <w:rFonts w:hint="eastAsia" w:ascii="Times New Roman" w:hAnsi="Times New Roman" w:cs="Times New Roman"/>
          <w:sz w:val="20"/>
          <w:szCs w:val="20"/>
          <w:lang w:val="en-US" w:eastAsia="zh-CN"/>
        </w:rPr>
        <w:t>will</w:t>
      </w:r>
      <w:r>
        <w:rPr>
          <w:rFonts w:hint="default" w:ascii="Times New Roman" w:hAnsi="Times New Roman" w:cs="Times New Roman"/>
          <w:sz w:val="20"/>
          <w:szCs w:val="20"/>
          <w:lang w:val="en-US" w:eastAsia="zh-CN"/>
        </w:rPr>
        <w:t xml:space="preserve"> performed according to the conventional demand. The experimental group was given platelets stored in cold storage at 4℃, while the control group was given platelets stored in shock at 22℃. The infusion method and time were performed according to the existing standard platelet transfusion method, and the hemostatic effect was observed before and after treatment.</w:t>
      </w:r>
    </w:p>
    <w:p>
      <w:pPr>
        <w:numPr>
          <w:ilvl w:val="0"/>
          <w:numId w:val="0"/>
        </w:numPr>
        <w:spacing w:line="360" w:lineRule="auto"/>
        <w:ind w:left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2.4 Supportive treatment and concomitant medication</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All supportive care and medications (including starting and ending times and indications) related to correction of coagulation status must be recorded in the patient's original medical record and database. Concomitant medications were used in this study as long as the investigator believed that the treatment would not affect the evaluation of platelet storage at 4 ° C.</w:t>
      </w:r>
    </w:p>
    <w:p>
      <w:pPr>
        <w:numPr>
          <w:ilvl w:val="0"/>
          <w:numId w:val="1"/>
        </w:numPr>
        <w:tabs>
          <w:tab w:val="clear" w:pos="312"/>
        </w:tabs>
        <w:spacing w:line="360" w:lineRule="auto"/>
        <w:ind w:left="0" w:leftChars="0" w:firstLine="0" w:firstLine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Study population</w:t>
      </w:r>
    </w:p>
    <w:p>
      <w:pPr>
        <w:numPr>
          <w:ilvl w:val="1"/>
          <w:numId w:val="1"/>
        </w:numPr>
        <w:spacing w:line="360" w:lineRule="auto"/>
        <w:ind w:left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Included in the standard：</w:t>
      </w:r>
    </w:p>
    <w:p>
      <w:pPr>
        <w:numPr>
          <w:ilvl w:val="0"/>
          <w:numId w:val="0"/>
        </w:numPr>
        <w:spacing w:line="360" w:lineRule="auto"/>
        <w:jc w:val="both"/>
        <w:rPr>
          <w:rFonts w:hint="default" w:ascii="Times New Roman" w:hAnsi="Times New Roman" w:cs="Times New Roman"/>
          <w:sz w:val="20"/>
          <w:szCs w:val="20"/>
          <w:lang w:val="en-US" w:eastAsia="zh-CN"/>
        </w:rPr>
      </w:pPr>
      <w:bookmarkStart w:id="2" w:name="OLE_LINK1"/>
      <w:bookmarkStart w:id="3" w:name="OLE_LINK32"/>
      <w:r>
        <w:rPr>
          <w:rFonts w:hint="default" w:ascii="Times New Roman" w:hAnsi="Times New Roman" w:cs="Times New Roman"/>
          <w:sz w:val="20"/>
          <w:szCs w:val="20"/>
          <w:lang w:val="en-US" w:eastAsia="zh-CN"/>
        </w:rPr>
        <w:t xml:space="preserve">After the clinical doctor evaluates the patient's condition, the patient must meet the conditions of (1) and (2), and meet the conditions of (3) or (4). </w:t>
      </w:r>
    </w:p>
    <w:bookmarkEnd w:id="2"/>
    <w:p>
      <w:pPr>
        <w:numPr>
          <w:ilvl w:val="0"/>
          <w:numId w:val="2"/>
        </w:numPr>
        <w:spacing w:line="360" w:lineRule="auto"/>
        <w:jc w:val="both"/>
        <w:rPr>
          <w:rFonts w:hint="default" w:ascii="Times New Roman" w:hAnsi="Times New Roman" w:cs="Times New Roman"/>
          <w:sz w:val="20"/>
          <w:szCs w:val="20"/>
        </w:rPr>
      </w:pPr>
      <w:r>
        <w:rPr>
          <w:rFonts w:hint="default" w:ascii="Times New Roman" w:hAnsi="Times New Roman" w:cs="Times New Roman"/>
          <w:sz w:val="20"/>
          <w:szCs w:val="20"/>
        </w:rPr>
        <w:t>The voluntary</w:t>
      </w:r>
      <w:r>
        <w:rPr>
          <w:rFonts w:hint="eastAsia" w:ascii="Times New Roman" w:hAnsi="Times New Roman" w:cs="Times New Roman"/>
          <w:sz w:val="20"/>
          <w:szCs w:val="20"/>
          <w:lang w:val="en-US" w:eastAsia="zh-CN"/>
        </w:rPr>
        <w:t xml:space="preserve"> (p</w:t>
      </w:r>
      <w:r>
        <w:rPr>
          <w:rFonts w:hint="default" w:ascii="Times New Roman" w:hAnsi="Times New Roman" w:cs="Times New Roman"/>
          <w:sz w:val="20"/>
          <w:szCs w:val="20"/>
        </w:rPr>
        <w:t>atient</w:t>
      </w:r>
      <w:r>
        <w:rPr>
          <w:rFonts w:hint="eastAsia" w:ascii="Times New Roman" w:hAnsi="Times New Roman" w:cs="Times New Roman"/>
          <w:sz w:val="20"/>
          <w:szCs w:val="20"/>
          <w:lang w:val="en-US" w:eastAsia="zh-CN"/>
        </w:rPr>
        <w:t xml:space="preserve">s </w:t>
      </w:r>
      <w:r>
        <w:rPr>
          <w:rFonts w:ascii="Times New Roman" w:hAnsi="Times New Roman" w:cs="Times New Roman"/>
          <w:sz w:val="20"/>
          <w:szCs w:val="20"/>
        </w:rPr>
        <w:t>or their legal representatives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signing of informed consent for </w:t>
      </w:r>
      <w:r>
        <w:rPr>
          <w:rFonts w:hint="eastAsia" w:ascii="Times New Roman" w:hAnsi="Times New Roman" w:cs="Times New Roman"/>
          <w:sz w:val="20"/>
          <w:szCs w:val="20"/>
          <w:lang w:val="en-US" w:eastAsia="zh-CN"/>
        </w:rPr>
        <w:t>CSPs</w:t>
      </w:r>
      <w:r>
        <w:rPr>
          <w:rFonts w:hint="default" w:ascii="Times New Roman" w:hAnsi="Times New Roman" w:cs="Times New Roman"/>
          <w:sz w:val="20"/>
          <w:szCs w:val="20"/>
        </w:rPr>
        <w:t xml:space="preserve"> transfusion. </w:t>
      </w:r>
    </w:p>
    <w:p>
      <w:pPr>
        <w:numPr>
          <w:ilvl w:val="0"/>
          <w:numId w:val="2"/>
        </w:numPr>
        <w:spacing w:line="360" w:lineRule="auto"/>
        <w:ind w:left="0" w:leftChars="0" w:firstLine="0" w:firstLineChars="0"/>
        <w:jc w:val="both"/>
        <w:rPr>
          <w:rFonts w:hint="default" w:ascii="Times New Roman" w:hAnsi="Times New Roman" w:cs="Times New Roman"/>
          <w:sz w:val="20"/>
          <w:szCs w:val="20"/>
        </w:rPr>
      </w:pPr>
      <w:bookmarkStart w:id="4" w:name="OLE_LINK47"/>
      <w:r>
        <w:rPr>
          <w:rFonts w:hint="default" w:ascii="Times New Roman" w:hAnsi="Times New Roman" w:cs="Times New Roman"/>
          <w:sz w:val="20"/>
          <w:szCs w:val="20"/>
        </w:rPr>
        <w:t>Age included: 18-80 years old.</w:t>
      </w:r>
      <w:bookmarkEnd w:id="4"/>
      <w:r>
        <w:rPr>
          <w:rFonts w:hint="default" w:ascii="Times New Roman" w:hAnsi="Times New Roman" w:cs="Times New Roman"/>
          <w:sz w:val="20"/>
          <w:szCs w:val="20"/>
        </w:rPr>
        <w:t xml:space="preserve"> Gender: unstratified. </w:t>
      </w:r>
    </w:p>
    <w:p>
      <w:pPr>
        <w:numPr>
          <w:ilvl w:val="0"/>
          <w:numId w:val="0"/>
        </w:numPr>
        <w:spacing w:line="360" w:lineRule="auto"/>
        <w:ind w:left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rPr>
        <w:t>(3)</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Patients who have the indicators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lang w:val="en-US" w:eastAsia="zh-CN"/>
        </w:rPr>
        <w:t>in</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lang w:val="en-US" w:eastAsia="zh-CN"/>
        </w:rPr>
        <w:t>line with platelet transfusion: ① massive blood transfusion</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massive blood loss is replacement of the patient’s total blood volume or transfusion of more than ten units of blood within 24 hours</w:t>
      </w:r>
      <w:r>
        <w:rPr>
          <w:rFonts w:hint="default" w:ascii="Times New Roman" w:hAnsi="Times New Roman" w:cs="Times New Roman"/>
          <w:sz w:val="20"/>
          <w:szCs w:val="20"/>
          <w:lang w:eastAsia="zh-CN"/>
        </w:rPr>
        <w:t>；</w:t>
      </w:r>
      <w:r>
        <w:rPr>
          <w:rFonts w:hint="default" w:ascii="Times New Roman" w:hAnsi="Times New Roman" w:cs="Times New Roman"/>
          <w:sz w:val="20"/>
          <w:szCs w:val="20"/>
        </w:rPr>
        <w:t>A replacement of 50% of circulating blood volume in less than three hours or more than 150 ml per minute</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lang w:val="en-US" w:eastAsia="zh-CN"/>
        </w:rPr>
        <w:t>; ② Platelets ≤ 50×109/L with active bleeding</w:t>
      </w:r>
      <w:r>
        <w:rPr>
          <w:rFonts w:hint="eastAsia" w:ascii="Times New Roman" w:hAnsi="Times New Roman" w:cs="Times New Roman"/>
          <w:sz w:val="20"/>
          <w:szCs w:val="20"/>
          <w:lang w:val="en-US" w:eastAsia="zh-CN"/>
        </w:rPr>
        <w:t xml:space="preserve">. </w:t>
      </w:r>
    </w:p>
    <w:p>
      <w:pPr>
        <w:numPr>
          <w:ilvl w:val="0"/>
          <w:numId w:val="0"/>
        </w:numPr>
        <w:spacing w:line="360" w:lineRule="auto"/>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rPr>
        <w:t>(4) Patients with obstetric massive bleeding.</w:t>
      </w:r>
      <w:bookmarkEnd w:id="3"/>
    </w:p>
    <w:p>
      <w:pPr>
        <w:numPr>
          <w:ilvl w:val="1"/>
          <w:numId w:val="1"/>
        </w:numPr>
        <w:spacing w:line="360" w:lineRule="auto"/>
        <w:ind w:left="0" w:leftChars="0" w:firstLine="0" w:firstLineChars="0"/>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Exclusion criteria</w:t>
      </w:r>
    </w:p>
    <w:p>
      <w:pPr>
        <w:numPr>
          <w:ilvl w:val="0"/>
          <w:numId w:val="0"/>
        </w:numPr>
        <w:spacing w:line="360" w:lineRule="auto"/>
        <w:jc w:val="both"/>
        <w:rPr>
          <w:rFonts w:hint="default" w:ascii="Times New Roman" w:hAnsi="Times New Roman" w:cs="Times New Roman"/>
          <w:sz w:val="20"/>
          <w:szCs w:val="20"/>
          <w:lang w:val="en-US" w:eastAsia="zh-CN"/>
        </w:rPr>
      </w:pPr>
      <w:bookmarkStart w:id="5" w:name="OLE_LINK42"/>
      <w:r>
        <w:rPr>
          <w:rFonts w:hint="default" w:ascii="Times New Roman" w:hAnsi="Times New Roman" w:cs="Times New Roman"/>
          <w:sz w:val="20"/>
          <w:szCs w:val="20"/>
          <w:lang w:val="en-US" w:eastAsia="zh-CN"/>
        </w:rPr>
        <w:t>After the clinical doctor evaluates the patient's condition, those who meet one of the following conditions will be excluded:</w:t>
      </w:r>
      <w:bookmarkEnd w:id="5"/>
    </w:p>
    <w:p>
      <w:pPr>
        <w:numPr>
          <w:ilvl w:val="0"/>
          <w:numId w:val="3"/>
        </w:numPr>
        <w:spacing w:line="360" w:lineRule="auto"/>
        <w:ind w:left="50" w:leftChars="0" w:firstLine="0" w:firstLine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Age included: &lt;18 or &gt;80 years old. </w:t>
      </w:r>
    </w:p>
    <w:p>
      <w:pPr>
        <w:numPr>
          <w:ilvl w:val="0"/>
          <w:numId w:val="3"/>
        </w:numPr>
        <w:spacing w:line="360" w:lineRule="auto"/>
        <w:ind w:left="50" w:leftChars="0" w:firstLine="0" w:firstLineChars="0"/>
        <w:jc w:val="both"/>
        <w:rPr>
          <w:rFonts w:hint="default" w:ascii="Times New Roman" w:hAnsi="Times New Roman" w:cs="Times New Roman"/>
          <w:sz w:val="20"/>
          <w:szCs w:val="20"/>
          <w:lang w:val="en-US" w:eastAsia="zh-CN"/>
        </w:rPr>
      </w:pPr>
      <w:bookmarkStart w:id="6" w:name="OLE_LINK44"/>
      <w:r>
        <w:rPr>
          <w:rFonts w:hint="default" w:ascii="Times New Roman" w:hAnsi="Times New Roman" w:cs="Times New Roman"/>
          <w:sz w:val="20"/>
          <w:szCs w:val="20"/>
          <w:lang w:val="en-US" w:eastAsia="zh-CN"/>
        </w:rPr>
        <w:t xml:space="preserve">Patients with hyper-coagulable diseases such as myocardial infarction or stroke. </w:t>
      </w:r>
      <w:bookmarkEnd w:id="6"/>
    </w:p>
    <w:p>
      <w:pPr>
        <w:numPr>
          <w:ilvl w:val="0"/>
          <w:numId w:val="3"/>
        </w:numPr>
        <w:spacing w:line="360" w:lineRule="auto"/>
        <w:ind w:left="50" w:leftChars="0" w:firstLine="0" w:firstLine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Patients with severe surgical trauma who are expected to be at risk of death within 24 hours. </w:t>
      </w:r>
    </w:p>
    <w:p>
      <w:pPr>
        <w:numPr>
          <w:ilvl w:val="0"/>
          <w:numId w:val="3"/>
        </w:numPr>
        <w:spacing w:line="360" w:lineRule="auto"/>
        <w:ind w:left="50" w:leftChars="0" w:firstLine="0" w:firstLineChars="0"/>
        <w:jc w:val="both"/>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Those participating in other clinical experimenters.</w:t>
      </w:r>
    </w:p>
    <w:p>
      <w:pPr>
        <w:numPr>
          <w:ilvl w:val="0"/>
          <w:numId w:val="3"/>
        </w:numPr>
        <w:spacing w:line="360" w:lineRule="auto"/>
        <w:ind w:left="50" w:leftChars="0" w:firstLine="0" w:firstLineChars="0"/>
        <w:jc w:val="both"/>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(5) The physician identifies additional contraindications for platelet use, including severe pulmonary infection, liver cirrhosis, pregnancy with thrombocytopenia, renal failure with thrombocytopenia, and others.</w:t>
      </w:r>
    </w:p>
    <w:p>
      <w:pPr>
        <w:spacing w:line="480" w:lineRule="auto"/>
        <w:jc w:val="both"/>
        <w:rPr>
          <w:rFonts w:ascii="Times New Roman" w:eastAsia="宋体"/>
          <w:b/>
          <w:bCs/>
          <w:color w:val="auto"/>
          <w:sz w:val="20"/>
          <w:szCs w:val="20"/>
          <w:highlight w:val="none"/>
        </w:rPr>
      </w:pPr>
      <w:r>
        <w:rPr>
          <w:rFonts w:hint="eastAsia" w:ascii="Times New Roman" w:eastAsia="宋体"/>
          <w:b/>
          <w:bCs/>
          <w:color w:val="auto"/>
          <w:sz w:val="20"/>
          <w:szCs w:val="20"/>
          <w:highlight w:val="none"/>
          <w:lang w:val="en-US" w:eastAsia="zh-CN"/>
        </w:rPr>
        <w:t xml:space="preserve">3.2 </w:t>
      </w:r>
      <w:r>
        <w:rPr>
          <w:rFonts w:hint="eastAsia" w:ascii="Times New Roman" w:eastAsia="宋体"/>
          <w:b/>
          <w:bCs/>
          <w:color w:val="auto"/>
          <w:sz w:val="20"/>
          <w:szCs w:val="20"/>
          <w:highlight w:val="none"/>
        </w:rPr>
        <w:t>Data Extraction</w:t>
      </w:r>
    </w:p>
    <w:p>
      <w:pPr>
        <w:numPr>
          <w:ilvl w:val="-1"/>
          <w:numId w:val="0"/>
        </w:numPr>
        <w:spacing w:line="360" w:lineRule="auto"/>
        <w:ind w:left="50"/>
        <w:jc w:val="both"/>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sz w:val="20"/>
          <w:szCs w:val="20"/>
        </w:rPr>
        <w:t>Two researchers according to the</w:t>
      </w:r>
      <w:r>
        <w:rPr>
          <w:rFonts w:hint="eastAsia" w:ascii="Times New Roman" w:hAnsi="Times New Roman" w:cs="Times New Roman" w:eastAsiaTheme="minorEastAsia"/>
          <w:sz w:val="20"/>
          <w:szCs w:val="20"/>
          <w:lang w:val="en-US" w:eastAsia="zh-CN"/>
        </w:rPr>
        <w:t xml:space="preserve"> SAP (</w:t>
      </w:r>
      <w:r>
        <w:rPr>
          <w:rFonts w:hint="eastAsia" w:ascii="Times New Roman" w:hAnsi="Times New Roman" w:cs="Times New Roman" w:eastAsiaTheme="minorEastAsia"/>
          <w:sz w:val="20"/>
          <w:szCs w:val="20"/>
        </w:rPr>
        <w:t xml:space="preserve"> statistical analysis plan</w:t>
      </w:r>
      <w:r>
        <w:rPr>
          <w:rFonts w:hint="eastAsia" w:ascii="Times New Roman" w:hAnsi="Times New Roman" w:cs="Times New Roman" w:eastAsiaTheme="minorEastAsia"/>
          <w:sz w:val="20"/>
          <w:szCs w:val="20"/>
          <w:lang w:val="en-US" w:eastAsia="zh-CN"/>
        </w:rPr>
        <w:t xml:space="preserve">) </w:t>
      </w:r>
      <w:r>
        <w:rPr>
          <w:rFonts w:hint="eastAsia" w:ascii="Times New Roman" w:hAnsi="Times New Roman" w:cs="Times New Roman" w:eastAsiaTheme="minorEastAsia"/>
          <w:sz w:val="20"/>
          <w:szCs w:val="20"/>
        </w:rPr>
        <w:t xml:space="preserve">and filled in the case report form </w:t>
      </w:r>
      <w:r>
        <w:rPr>
          <w:rFonts w:hint="eastAsia" w:ascii="Times New Roman" w:hAnsi="Times New Roman" w:cs="Times New Roman" w:eastAsiaTheme="minorEastAsia"/>
          <w:sz w:val="20"/>
          <w:szCs w:val="20"/>
          <w:lang w:eastAsia="zh-CN"/>
        </w:rPr>
        <w:t>（</w:t>
      </w:r>
      <w:r>
        <w:rPr>
          <w:rFonts w:hint="eastAsia" w:ascii="Times New Roman" w:hAnsi="Times New Roman" w:cs="Times New Roman" w:eastAsiaTheme="minorEastAsia"/>
          <w:sz w:val="20"/>
          <w:szCs w:val="20"/>
          <w:lang w:val="en-US" w:eastAsia="zh-CN"/>
        </w:rPr>
        <w:t>CRF）</w:t>
      </w:r>
      <w:r>
        <w:rPr>
          <w:rFonts w:hint="eastAsia" w:ascii="Times New Roman" w:hAnsi="Times New Roman" w:cs="Times New Roman" w:eastAsiaTheme="minorEastAsia"/>
          <w:sz w:val="20"/>
          <w:szCs w:val="20"/>
        </w:rPr>
        <w:t>encompassing a total of</w:t>
      </w:r>
      <w:r>
        <w:rPr>
          <w:rFonts w:hint="eastAsia" w:ascii="Times New Roman" w:hAnsi="Times New Roman" w:cs="Times New Roman" w:eastAsiaTheme="minorEastAsia"/>
          <w:sz w:val="20"/>
          <w:szCs w:val="20"/>
          <w:lang w:val="en-US" w:eastAsia="zh-CN"/>
        </w:rPr>
        <w:t xml:space="preserve"> </w:t>
      </w:r>
      <w:r>
        <w:rPr>
          <w:rFonts w:hint="eastAsia" w:ascii="Times New Roman" w:hAnsi="Times New Roman" w:cs="Times New Roman" w:eastAsiaTheme="minorEastAsia"/>
          <w:sz w:val="20"/>
          <w:szCs w:val="20"/>
        </w:rPr>
        <w:t xml:space="preserve">238 items covering baseline characteristics, vital signs as clinical features, five categories of laboratory tests, surgical details such as surgery time along </w:t>
      </w:r>
      <w:r>
        <w:rPr>
          <w:rFonts w:hint="eastAsia" w:ascii="Times New Roman" w:hAnsi="Times New Roman" w:cs="Times New Roman" w:eastAsiaTheme="minorEastAsia"/>
          <w:sz w:val="20"/>
          <w:szCs w:val="20"/>
          <w:lang w:val="en-US" w:eastAsia="zh-CN"/>
        </w:rPr>
        <w:t xml:space="preserve">and </w:t>
      </w:r>
      <w:r>
        <w:rPr>
          <w:rFonts w:hint="eastAsia" w:ascii="Times New Roman" w:hAnsi="Times New Roman" w:cs="Times New Roman" w:eastAsiaTheme="minorEastAsia"/>
          <w:sz w:val="20"/>
          <w:szCs w:val="20"/>
        </w:rPr>
        <w:t>surgery type;</w:t>
      </w:r>
      <w:r>
        <w:rPr>
          <w:rFonts w:hint="eastAsia" w:ascii="Times New Roman" w:hAnsi="Times New Roman" w:cs="Times New Roman" w:eastAsiaTheme="minorEastAsia"/>
          <w:sz w:val="20"/>
          <w:szCs w:val="20"/>
          <w:lang w:val="en-US" w:eastAsia="zh-CN"/>
        </w:rPr>
        <w:t xml:space="preserve"> </w:t>
      </w:r>
      <w:r>
        <w:rPr>
          <w:rFonts w:hint="eastAsia" w:ascii="Times New Roman" w:hAnsi="Times New Roman" w:cs="Times New Roman" w:eastAsiaTheme="minorEastAsia"/>
          <w:sz w:val="20"/>
          <w:szCs w:val="20"/>
        </w:rPr>
        <w:t>Blood transfusion before platelet transfusion</w:t>
      </w:r>
      <w:r>
        <w:rPr>
          <w:rFonts w:hint="eastAsia" w:ascii="Times New Roman" w:hAnsi="Times New Roman" w:cs="Times New Roman" w:eastAsiaTheme="minorEastAsia"/>
          <w:sz w:val="20"/>
          <w:szCs w:val="20"/>
          <w:lang w:val="en-US" w:eastAsia="zh-CN"/>
        </w:rPr>
        <w:t>；</w:t>
      </w:r>
      <w:r>
        <w:rPr>
          <w:rFonts w:hint="eastAsia" w:ascii="Times New Roman" w:hAnsi="Times New Roman" w:cs="Times New Roman" w:eastAsiaTheme="minorEastAsia"/>
          <w:sz w:val="20"/>
          <w:szCs w:val="20"/>
        </w:rPr>
        <w:t>Platelet infusion start and stop time</w:t>
      </w:r>
      <w:r>
        <w:rPr>
          <w:rFonts w:hint="eastAsia" w:ascii="Times New Roman" w:hAnsi="Times New Roman" w:cs="Times New Roman" w:eastAsiaTheme="minorEastAsia"/>
          <w:sz w:val="20"/>
          <w:szCs w:val="20"/>
          <w:lang w:eastAsia="zh-CN"/>
        </w:rPr>
        <w:t>；</w:t>
      </w:r>
      <w:r>
        <w:rPr>
          <w:rFonts w:hint="eastAsia" w:ascii="Times New Roman" w:hAnsi="Times New Roman" w:cs="Times New Roman" w:eastAsiaTheme="minorEastAsia"/>
          <w:sz w:val="20"/>
          <w:szCs w:val="20"/>
        </w:rPr>
        <w:t>Pre- and post-transfusion platelet drainage volume</w:t>
      </w:r>
      <w:r>
        <w:rPr>
          <w:rFonts w:hint="eastAsia" w:ascii="Times New Roman" w:hAnsi="Times New Roman" w:cs="Times New Roman" w:eastAsiaTheme="minorEastAsia"/>
          <w:sz w:val="20"/>
          <w:szCs w:val="20"/>
          <w:lang w:val="en-US" w:eastAsia="zh-CN"/>
        </w:rPr>
        <w:t>；</w:t>
      </w:r>
      <w:r>
        <w:rPr>
          <w:rFonts w:hint="eastAsia" w:ascii="Times New Roman" w:hAnsi="Times New Roman" w:cs="Times New Roman" w:eastAsiaTheme="minorEastAsia"/>
          <w:sz w:val="20"/>
          <w:szCs w:val="20"/>
        </w:rPr>
        <w:t>Application of blood products after platelet transfusion;</w:t>
      </w:r>
      <w:r>
        <w:rPr>
          <w:rFonts w:hint="eastAsia" w:ascii="Times New Roman" w:hAnsi="Times New Roman" w:cs="Times New Roman" w:eastAsiaTheme="minorEastAsia"/>
          <w:sz w:val="20"/>
          <w:szCs w:val="20"/>
          <w:lang w:val="en-US" w:eastAsia="zh-CN"/>
        </w:rPr>
        <w:t xml:space="preserve"> </w:t>
      </w:r>
      <w:r>
        <w:rPr>
          <w:rFonts w:hint="eastAsia" w:ascii="Times New Roman" w:hAnsi="Times New Roman" w:cs="Times New Roman" w:eastAsiaTheme="minorEastAsia"/>
          <w:sz w:val="20"/>
          <w:szCs w:val="20"/>
        </w:rPr>
        <w:t xml:space="preserve">Other medical interventions, such as the use of anticoagulants and hemostatic agents; </w:t>
      </w:r>
      <w:r>
        <w:rPr>
          <w:rFonts w:hint="eastAsia" w:ascii="Times New Roman" w:hAnsi="Times New Roman" w:cs="Times New Roman" w:eastAsiaTheme="minorEastAsia"/>
          <w:sz w:val="20"/>
          <w:szCs w:val="20"/>
          <w:lang w:val="en-US" w:eastAsia="zh-CN"/>
        </w:rPr>
        <w:t>D</w:t>
      </w:r>
      <w:r>
        <w:rPr>
          <w:rFonts w:hint="eastAsia" w:ascii="Times New Roman" w:hAnsi="Times New Roman" w:cs="Times New Roman" w:eastAsiaTheme="minorEastAsia"/>
          <w:sz w:val="20"/>
          <w:szCs w:val="20"/>
        </w:rPr>
        <w:t>ischarge outcomes; Adverse reactions to blood transfusion</w:t>
      </w:r>
      <w:r>
        <w:rPr>
          <w:rFonts w:hint="eastAsia" w:ascii="Times New Roman" w:hAnsi="Times New Roman" w:cs="Times New Roman" w:eastAsiaTheme="minorEastAsia"/>
          <w:sz w:val="20"/>
          <w:szCs w:val="20"/>
          <w:lang w:eastAsia="zh-CN"/>
        </w:rPr>
        <w:t>；</w:t>
      </w:r>
      <w:r>
        <w:rPr>
          <w:rFonts w:hint="eastAsia" w:ascii="Times New Roman" w:hAnsi="Times New Roman" w:cs="Times New Roman" w:eastAsiaTheme="minorEastAsia"/>
          <w:i w:val="0"/>
          <w:iCs w:val="0"/>
          <w:kern w:val="2"/>
          <w:sz w:val="20"/>
          <w:szCs w:val="20"/>
          <w:u w:val="none"/>
          <w:lang w:val="en-US" w:eastAsia="zh-CN" w:bidi="ar"/>
        </w:rPr>
        <w:t>Application Scenarios of platelets</w:t>
      </w:r>
      <w:r>
        <w:rPr>
          <w:rFonts w:hint="eastAsia" w:ascii="Times New Roman" w:hAnsi="Times New Roman" w:cs="Times New Roman" w:eastAsiaTheme="minorEastAsia"/>
          <w:sz w:val="20"/>
          <w:szCs w:val="20"/>
          <w:lang w:val="en-US" w:eastAsia="zh-CN"/>
        </w:rPr>
        <w:t>（</w:t>
      </w:r>
      <w:r>
        <w:rPr>
          <w:rFonts w:hint="eastAsia" w:ascii="Times New Roman" w:hAnsi="Times New Roman" w:cs="Times New Roman" w:eastAsiaTheme="minorEastAsia"/>
          <w:i w:val="0"/>
          <w:iCs w:val="0"/>
          <w:kern w:val="2"/>
          <w:sz w:val="20"/>
          <w:szCs w:val="20"/>
          <w:u w:val="none"/>
          <w:lang w:val="en-US" w:eastAsia="zh-CN" w:bidi="ar"/>
        </w:rPr>
        <w:t>Preoperative traumatic hemorrhage, Massive bleeding during the operation, Postoperative thrombocytopenia).</w:t>
      </w:r>
    </w:p>
    <w:p>
      <w:pPr>
        <w:numPr>
          <w:ilvl w:val="0"/>
          <w:numId w:val="1"/>
        </w:numPr>
        <w:spacing w:line="360" w:lineRule="auto"/>
        <w:ind w:left="0" w:leftChars="0" w:firstLine="0" w:firstLineChars="0"/>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Outcome indicators：</w:t>
      </w:r>
    </w:p>
    <w:p>
      <w:pPr>
        <w:numPr>
          <w:ilvl w:val="1"/>
          <w:numId w:val="1"/>
        </w:numPr>
        <w:spacing w:line="240" w:lineRule="auto"/>
        <w:ind w:left="0" w:leftChars="0" w:firstLine="0" w:firstLineChars="0"/>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 xml:space="preserve">The main outcome </w:t>
      </w:r>
      <w:r>
        <w:rPr>
          <w:rFonts w:ascii="Times New Roman" w:hAnsi="Times New Roman" w:cs="Times New Roman"/>
          <w:color w:val="auto"/>
          <w:sz w:val="20"/>
          <w:szCs w:val="20"/>
        </w:rPr>
        <w:t>indicators:</w:t>
      </w:r>
    </w:p>
    <w:p>
      <w:pPr>
        <w:numPr>
          <w:ilvl w:val="0"/>
          <w:numId w:val="4"/>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Drainage volume that measure clinical effect</w:t>
      </w:r>
    </w:p>
    <w:p>
      <w:pPr>
        <w:numPr>
          <w:ilvl w:val="0"/>
          <w:numId w:val="4"/>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Laboratory </w:t>
      </w:r>
      <w:r>
        <w:rPr>
          <w:rFonts w:ascii="Times New Roman" w:hAnsi="Times New Roman" w:cs="Times New Roman"/>
          <w:color w:val="auto"/>
          <w:sz w:val="20"/>
          <w:szCs w:val="20"/>
        </w:rPr>
        <w:t>test of</w:t>
      </w:r>
      <w:r>
        <w:rPr>
          <w:rFonts w:hint="default" w:ascii="Times New Roman" w:hAnsi="Times New Roman" w:cs="Times New Roman"/>
          <w:color w:val="auto"/>
          <w:sz w:val="20"/>
          <w:szCs w:val="20"/>
          <w:lang w:val="en-US" w:eastAsia="zh-CN"/>
        </w:rPr>
        <w:t xml:space="preserve"> valuation of platelet count and function (PLT, MA)</w:t>
      </w:r>
    </w:p>
    <w:p>
      <w:pPr>
        <w:numPr>
          <w:ilvl w:val="1"/>
          <w:numId w:val="1"/>
        </w:numPr>
        <w:spacing w:line="360" w:lineRule="auto"/>
        <w:ind w:left="0" w:leftChars="0" w:firstLine="0" w:firstLineChars="0"/>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 xml:space="preserve">The secondary outcome </w:t>
      </w:r>
      <w:r>
        <w:rPr>
          <w:rFonts w:ascii="Times New Roman" w:hAnsi="Times New Roman" w:cs="Times New Roman"/>
          <w:color w:val="auto"/>
          <w:sz w:val="20"/>
          <w:szCs w:val="20"/>
        </w:rPr>
        <w:t>indicators:</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Hospital stay</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Length of intensive care stay</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Medical costs</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Outcome of discharge</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The dosage of different blood components after platelet transfusion</w:t>
      </w:r>
    </w:p>
    <w:p>
      <w:pPr>
        <w:numPr>
          <w:ilvl w:val="0"/>
          <w:numId w:val="5"/>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Platelet transfusion within 72 hours before PLT transfusion</w:t>
      </w:r>
    </w:p>
    <w:p>
      <w:pPr>
        <w:numPr>
          <w:ilvl w:val="0"/>
          <w:numId w:val="0"/>
        </w:numPr>
        <w:spacing w:line="360" w:lineRule="auto"/>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4.3 Post hoc Analysis</w:t>
      </w:r>
    </w:p>
    <w:p>
      <w:pPr>
        <w:numPr>
          <w:ilvl w:val="0"/>
          <w:numId w:val="6"/>
        </w:numPr>
        <w:spacing w:line="360" w:lineRule="auto"/>
        <w:jc w:val="both"/>
        <w:rPr>
          <w:rFonts w:hint="default" w:ascii="Times New Roman" w:hAnsi="Times New Roman" w:cs="Times New Roman"/>
          <w:color w:val="auto"/>
          <w:sz w:val="20"/>
          <w:szCs w:val="20"/>
          <w:lang w:val="en-US" w:eastAsia="zh-CN"/>
        </w:rPr>
      </w:pPr>
      <w:r>
        <w:rPr>
          <w:rFonts w:ascii="Times New Roman" w:hAnsi="Times New Roman" w:cs="Times New Roman"/>
          <w:color w:val="auto"/>
          <w:sz w:val="20"/>
          <w:szCs w:val="20"/>
        </w:rPr>
        <w:t>Aanlysis of</w:t>
      </w:r>
      <w:r>
        <w:rPr>
          <w:rFonts w:hint="default" w:ascii="Times New Roman" w:hAnsi="Times New Roman" w:cs="Times New Roman"/>
          <w:color w:val="auto"/>
          <w:sz w:val="20"/>
          <w:szCs w:val="20"/>
          <w:lang w:val="en-US" w:eastAsia="zh-CN"/>
        </w:rPr>
        <w:t xml:space="preserve"> the factors influencing the efficacy of platelet storage at 4℃.</w:t>
      </w:r>
    </w:p>
    <w:p>
      <w:pPr>
        <w:numPr>
          <w:ilvl w:val="0"/>
          <w:numId w:val="6"/>
        </w:numPr>
        <w:spacing w:line="360" w:lineRule="auto"/>
        <w:jc w:val="both"/>
        <w:rPr>
          <w:rFonts w:hint="default" w:ascii="Times New Roman" w:hAnsi="Times New Roman" w:cs="Times New Roman"/>
          <w:color w:val="auto"/>
          <w:sz w:val="20"/>
          <w:szCs w:val="20"/>
          <w:lang w:val="en-US" w:eastAsia="zh-CN"/>
        </w:rPr>
      </w:pPr>
      <w:r>
        <w:rPr>
          <w:rFonts w:ascii="Times New Roman" w:hAnsi="Times New Roman" w:cs="Times New Roman"/>
          <w:color w:val="auto"/>
          <w:sz w:val="20"/>
          <w:szCs w:val="20"/>
        </w:rPr>
        <w:t>Analysis of</w:t>
      </w:r>
      <w:r>
        <w:rPr>
          <w:rFonts w:hint="default" w:ascii="Times New Roman" w:hAnsi="Times New Roman" w:cs="Times New Roman"/>
          <w:color w:val="auto"/>
          <w:sz w:val="20"/>
          <w:szCs w:val="20"/>
          <w:lang w:val="en-US" w:eastAsia="zh-CN"/>
        </w:rPr>
        <w:t xml:space="preserve"> the effect of 4℃ cold stored platelets on different diseases.</w:t>
      </w:r>
    </w:p>
    <w:p>
      <w:pPr>
        <w:numPr>
          <w:ilvl w:val="-1"/>
          <w:numId w:val="0"/>
        </w:numPr>
        <w:spacing w:line="360" w:lineRule="auto"/>
        <w:ind w:left="0" w:leftChars="0" w:firstLine="0" w:firstLineChars="0"/>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4.4 Safety Specifications</w:t>
      </w:r>
    </w:p>
    <w:p>
      <w:pPr>
        <w:numPr>
          <w:ilvl w:val="0"/>
          <w:numId w:val="7"/>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Adverse events</w:t>
      </w:r>
    </w:p>
    <w:p>
      <w:pPr>
        <w:numPr>
          <w:ilvl w:val="0"/>
          <w:numId w:val="7"/>
        </w:numPr>
        <w:spacing w:line="360" w:lineRule="auto"/>
        <w:ind w:left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Adverse reaction of blood transfusion</w:t>
      </w:r>
    </w:p>
    <w:p>
      <w:pPr>
        <w:numPr>
          <w:ilvl w:val="0"/>
          <w:numId w:val="7"/>
        </w:numPr>
        <w:spacing w:line="360" w:lineRule="auto"/>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Deep venous thrombosis: Detection of deep venous thrombosis in the lower extremities.</w:t>
      </w:r>
    </w:p>
    <w:p>
      <w:pPr>
        <w:numPr>
          <w:ilvl w:val="0"/>
          <w:numId w:val="1"/>
        </w:numPr>
        <w:spacing w:line="360" w:lineRule="auto"/>
        <w:ind w:left="0" w:leftChars="0" w:firstLine="0" w:firstLineChars="0"/>
        <w:jc w:val="both"/>
        <w:rPr>
          <w:rFonts w:hint="default" w:ascii="Times New Roman" w:hAnsi="Times New Roman" w:cs="Times New Roman"/>
          <w:b/>
          <w:bCs/>
          <w:color w:val="auto"/>
          <w:sz w:val="20"/>
          <w:szCs w:val="20"/>
          <w:lang w:val="en-US" w:eastAsia="zh-CN"/>
        </w:rPr>
      </w:pPr>
      <w:r>
        <w:rPr>
          <w:rFonts w:hint="default" w:ascii="Times New Roman" w:hAnsi="Times New Roman" w:cs="Times New Roman"/>
          <w:b/>
          <w:bCs/>
          <w:color w:val="auto"/>
          <w:sz w:val="20"/>
          <w:szCs w:val="20"/>
          <w:lang w:val="en-US" w:eastAsia="zh-CN"/>
        </w:rPr>
        <w:t>Statistical analysis</w:t>
      </w:r>
    </w:p>
    <w:p>
      <w:pPr>
        <w:spacing w:line="480" w:lineRule="auto"/>
        <w:jc w:val="both"/>
        <w:rPr>
          <w:rFonts w:ascii="Times New Roman" w:eastAsia="宋体"/>
          <w:color w:val="auto"/>
          <w:sz w:val="20"/>
          <w:szCs w:val="20"/>
          <w:highlight w:val="none"/>
        </w:rPr>
      </w:pPr>
      <w:bookmarkStart w:id="7" w:name="_GoBack"/>
      <w:bookmarkEnd w:id="7"/>
      <w:r>
        <w:rPr>
          <w:rFonts w:hint="eastAsia" w:ascii="Times New Roman" w:eastAsia="宋体"/>
          <w:color w:val="auto"/>
          <w:sz w:val="20"/>
          <w:szCs w:val="20"/>
          <w:highlight w:val="none"/>
        </w:rPr>
        <w:t>Analysis method of main outcome indicators: Generalized estimation equation was used to conduct statistical analysis of drainage, PLT</w:t>
      </w:r>
      <w:r>
        <w:rPr>
          <w:rFonts w:ascii="Times New Roman" w:eastAsia="宋体"/>
          <w:color w:val="auto"/>
          <w:sz w:val="20"/>
          <w:szCs w:val="20"/>
          <w:highlight w:val="none"/>
        </w:rPr>
        <w:t xml:space="preserve"> counts</w:t>
      </w:r>
      <w:r>
        <w:rPr>
          <w:rFonts w:hint="eastAsia" w:ascii="Times New Roman" w:eastAsia="宋体"/>
          <w:color w:val="auto"/>
          <w:sz w:val="20"/>
          <w:szCs w:val="20"/>
          <w:highlight w:val="none"/>
        </w:rPr>
        <w:t xml:space="preserve"> and TEG-MA, and to compare the statistical difference of hemostatic efficacy between the two groups. </w:t>
      </w:r>
      <w:r>
        <w:rPr>
          <w:rFonts w:ascii="Times New Roman" w:eastAsia="宋体"/>
          <w:color w:val="auto"/>
          <w:sz w:val="20"/>
          <w:szCs w:val="20"/>
          <w:highlight w:val="none"/>
        </w:rPr>
        <w:t xml:space="preserve">Generalized estimated equation (GEE) analysis was performed to investigate a time trend </w:t>
      </w:r>
      <w:r>
        <w:rPr>
          <w:rFonts w:hint="eastAsia" w:ascii="Times New Roman" w:eastAsia="宋体"/>
          <w:color w:val="auto"/>
          <w:sz w:val="20"/>
          <w:szCs w:val="20"/>
          <w:highlight w:val="none"/>
        </w:rPr>
        <w:t xml:space="preserve">during the treatment </w:t>
      </w:r>
      <w:r>
        <w:rPr>
          <w:rFonts w:ascii="Times New Roman" w:eastAsia="宋体"/>
          <w:color w:val="auto"/>
          <w:sz w:val="20"/>
          <w:szCs w:val="20"/>
          <w:highlight w:val="none"/>
        </w:rPr>
        <w:t>period. GEE is a model that allows the study of time trends while taking the within-subject correlation into account in a dataset with missing values. We constructed an evaluation model of postoperative drainage, with drainage volume as the dependent variable and application scenario, disease classification, platelet uses</w:t>
      </w:r>
      <w:r>
        <w:rPr>
          <w:rFonts w:hint="eastAsia" w:ascii="Times New Roman" w:eastAsia="宋体"/>
          <w:color w:val="auto"/>
          <w:sz w:val="20"/>
          <w:szCs w:val="20"/>
          <w:highlight w:val="none"/>
          <w:lang w:val="en-US" w:eastAsia="zh-CN"/>
        </w:rPr>
        <w:t>(CSPs or RTPs)</w:t>
      </w:r>
      <w:r>
        <w:rPr>
          <w:rFonts w:ascii="Times New Roman" w:eastAsia="宋体"/>
          <w:color w:val="auto"/>
          <w:sz w:val="20"/>
          <w:szCs w:val="20"/>
          <w:highlight w:val="none"/>
        </w:rPr>
        <w:t>, age, and discharge</w:t>
      </w:r>
      <w:r>
        <w:rPr>
          <w:rFonts w:hint="eastAsia" w:ascii="Times New Roman" w:eastAsia="宋体"/>
          <w:color w:val="auto"/>
          <w:sz w:val="20"/>
          <w:szCs w:val="20"/>
          <w:highlight w:val="none"/>
        </w:rPr>
        <w:t xml:space="preserve"> outcome</w:t>
      </w:r>
      <w:r>
        <w:rPr>
          <w:rFonts w:ascii="Times New Roman" w:eastAsia="宋体"/>
          <w:color w:val="auto"/>
          <w:sz w:val="20"/>
          <w:szCs w:val="20"/>
          <w:highlight w:val="none"/>
        </w:rPr>
        <w:t xml:space="preserve"> under different preservation conditions as the independent variables. T</w:t>
      </w:r>
      <w:r>
        <w:rPr>
          <w:rFonts w:hint="eastAsia" w:ascii="Times New Roman" w:eastAsia="宋体"/>
          <w:color w:val="auto"/>
          <w:sz w:val="20"/>
          <w:szCs w:val="20"/>
          <w:highlight w:val="none"/>
        </w:rPr>
        <w:t>he generalized linear mixing model (GLMM</w:t>
      </w:r>
      <w:r>
        <w:rPr>
          <w:rFonts w:hint="eastAsia" w:ascii="Times New Roman" w:eastAsia="宋体"/>
          <w:color w:val="auto"/>
          <w:sz w:val="20"/>
          <w:szCs w:val="20"/>
          <w:highlight w:val="none"/>
          <w:lang w:val="en-US" w:eastAsia="zh-CN"/>
        </w:rPr>
        <w:t>s</w:t>
      </w:r>
      <w:r>
        <w:rPr>
          <w:rFonts w:hint="eastAsia" w:ascii="Times New Roman" w:eastAsia="宋体"/>
          <w:color w:val="auto"/>
          <w:sz w:val="20"/>
          <w:szCs w:val="20"/>
          <w:highlight w:val="none"/>
        </w:rPr>
        <w:t>)</w:t>
      </w:r>
      <w:r>
        <w:rPr>
          <w:rFonts w:ascii="Times New Roman" w:eastAsia="宋体"/>
          <w:color w:val="auto"/>
          <w:sz w:val="20"/>
          <w:szCs w:val="20"/>
          <w:highlight w:val="none"/>
        </w:rPr>
        <w:t xml:space="preserve"> was used to conduct multi-</w:t>
      </w:r>
      <w:r>
        <w:rPr>
          <w:rFonts w:hint="eastAsia" w:ascii="Times New Roman" w:eastAsia="宋体"/>
          <w:color w:val="auto"/>
          <w:sz w:val="20"/>
          <w:szCs w:val="20"/>
          <w:highlight w:val="none"/>
        </w:rPr>
        <w:t>variable</w:t>
      </w:r>
      <w:r>
        <w:rPr>
          <w:rFonts w:ascii="Times New Roman" w:eastAsia="宋体"/>
          <w:color w:val="auto"/>
          <w:sz w:val="20"/>
          <w:szCs w:val="20"/>
          <w:highlight w:val="none"/>
        </w:rPr>
        <w:t xml:space="preserve"> analysis of platelet intervention test data</w:t>
      </w:r>
      <w:r>
        <w:rPr>
          <w:rFonts w:hint="eastAsia" w:ascii="Times New Roman" w:eastAsia="宋体"/>
          <w:color w:val="auto"/>
          <w:sz w:val="20"/>
          <w:szCs w:val="20"/>
          <w:highlight w:val="none"/>
        </w:rPr>
        <w:t>. Analysis of secondary outcomes</w:t>
      </w:r>
      <w:r>
        <w:rPr>
          <w:rFonts w:ascii="Times New Roman" w:eastAsia="宋体"/>
          <w:color w:val="auto"/>
          <w:sz w:val="20"/>
          <w:szCs w:val="20"/>
          <w:highlight w:val="none"/>
        </w:rPr>
        <w:t xml:space="preserve"> were processed as follows: </w:t>
      </w:r>
      <w:r>
        <w:rPr>
          <w:rFonts w:hint="eastAsia" w:ascii="Times New Roman" w:eastAsia="宋体"/>
          <w:color w:val="auto"/>
          <w:sz w:val="20"/>
          <w:szCs w:val="20"/>
          <w:highlight w:val="none"/>
          <w:lang w:val="en-US" w:eastAsia="zh-CN"/>
        </w:rPr>
        <w:t>Hospital</w:t>
      </w:r>
      <w:r>
        <w:rPr>
          <w:rFonts w:hint="eastAsia" w:ascii="Times New Roman" w:eastAsia="宋体"/>
          <w:color w:val="auto"/>
          <w:sz w:val="20"/>
          <w:szCs w:val="20"/>
          <w:highlight w:val="none"/>
        </w:rPr>
        <w:t xml:space="preserve"> stay</w:t>
      </w:r>
      <w:r>
        <w:rPr>
          <w:rFonts w:ascii="Times New Roman" w:eastAsia="宋体"/>
          <w:color w:val="auto"/>
          <w:sz w:val="20"/>
          <w:szCs w:val="20"/>
          <w:highlight w:val="none"/>
        </w:rPr>
        <w:t xml:space="preserve"> </w:t>
      </w:r>
      <w:r>
        <w:rPr>
          <w:rFonts w:hint="eastAsia" w:ascii="Times New Roman" w:eastAsia="宋体"/>
          <w:color w:val="auto"/>
          <w:sz w:val="20"/>
          <w:szCs w:val="20"/>
          <w:highlight w:val="none"/>
          <w:lang w:val="en-US" w:eastAsia="zh-CN"/>
        </w:rPr>
        <w:t>,</w:t>
      </w:r>
      <w:r>
        <w:rPr>
          <w:rFonts w:hint="eastAsia" w:ascii="Times New Roman" w:eastAsia="宋体"/>
          <w:color w:val="auto"/>
          <w:sz w:val="20"/>
          <w:szCs w:val="20"/>
          <w:highlight w:val="none"/>
        </w:rPr>
        <w:t xml:space="preserve">cost and length of ICU stay were tested by rank-sum test, </w:t>
      </w:r>
      <w:r>
        <w:rPr>
          <w:rFonts w:ascii="Times New Roman" w:eastAsia="宋体"/>
          <w:color w:val="auto"/>
          <w:sz w:val="20"/>
          <w:szCs w:val="20"/>
          <w:highlight w:val="none"/>
        </w:rPr>
        <w:t xml:space="preserve">while </w:t>
      </w:r>
      <w:r>
        <w:rPr>
          <w:rFonts w:hint="eastAsia" w:ascii="Times New Roman" w:eastAsia="宋体"/>
          <w:color w:val="auto"/>
          <w:sz w:val="20"/>
          <w:szCs w:val="20"/>
          <w:highlight w:val="none"/>
        </w:rPr>
        <w:t xml:space="preserve">hospitalization cost was tested by rank-sum test, discharge outcome was tested by Fisher exact probability method, and component blood transfusion was tested by </w:t>
      </w:r>
      <w:r>
        <w:rPr>
          <w:rFonts w:ascii="Times New Roman" w:eastAsia="宋体"/>
          <w:color w:val="auto"/>
          <w:sz w:val="20"/>
          <w:szCs w:val="20"/>
          <w:highlight w:val="none"/>
        </w:rPr>
        <w:t>C</w:t>
      </w:r>
      <w:r>
        <w:rPr>
          <w:rFonts w:hint="eastAsia" w:ascii="Times New Roman" w:eastAsia="宋体"/>
          <w:color w:val="auto"/>
          <w:sz w:val="20"/>
          <w:szCs w:val="20"/>
          <w:highlight w:val="none"/>
        </w:rPr>
        <w:t>hi-square test.</w:t>
      </w:r>
    </w:p>
    <w:p>
      <w:pPr>
        <w:spacing w:line="480" w:lineRule="auto"/>
        <w:jc w:val="both"/>
        <w:rPr>
          <w:rFonts w:ascii="Times New Roman" w:eastAsia="宋体"/>
          <w:color w:val="auto"/>
          <w:sz w:val="20"/>
          <w:szCs w:val="20"/>
          <w:highlight w:val="none"/>
        </w:rPr>
      </w:pPr>
      <w:r>
        <w:rPr>
          <w:rFonts w:hint="eastAsia" w:ascii="Times New Roman" w:eastAsia="宋体"/>
          <w:color w:val="auto"/>
          <w:sz w:val="20"/>
          <w:szCs w:val="20"/>
          <w:highlight w:val="none"/>
        </w:rPr>
        <w:t xml:space="preserve">Safety analysis methods: Adverse events were statistically described to calculate the incidence of adverse events. The incidence of adverse events was compared by Chi-square test or Fisher exact probability method. The mean, standard deviation and median of laboratory examination parameters were calculated according to the measured values at each time point, and the influence of different treatment methods on laboratory indexes was evaluated by generalized estimation equation. All statistical tests were conducted by a two-sided test, and P&lt;0.05 </w:t>
      </w:r>
      <w:r>
        <w:rPr>
          <w:rFonts w:ascii="Times New Roman" w:eastAsia="宋体"/>
          <w:color w:val="auto"/>
          <w:sz w:val="20"/>
          <w:szCs w:val="20"/>
          <w:highlight w:val="none"/>
        </w:rPr>
        <w:t>was</w:t>
      </w:r>
      <w:r>
        <w:rPr>
          <w:rFonts w:hint="eastAsia" w:ascii="Times New Roman" w:eastAsia="宋体"/>
          <w:color w:val="auto"/>
          <w:sz w:val="20"/>
          <w:szCs w:val="20"/>
          <w:highlight w:val="none"/>
        </w:rPr>
        <w:t xml:space="preserve"> considered statistically significant.</w:t>
      </w:r>
    </w:p>
    <w:p>
      <w:pPr>
        <w:numPr>
          <w:ilvl w:val="0"/>
          <w:numId w:val="0"/>
        </w:numPr>
        <w:spacing w:line="360" w:lineRule="auto"/>
        <w:jc w:val="both"/>
        <w:rPr>
          <w:rFonts w:hint="default" w:ascii="Times New Roman" w:hAnsi="Times New Roman" w:cs="Times New Roman"/>
          <w:color w:val="auto"/>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4AAAB"/>
    <w:multiLevelType w:val="singleLevel"/>
    <w:tmpl w:val="9F04AAAB"/>
    <w:lvl w:ilvl="0" w:tentative="0">
      <w:start w:val="1"/>
      <w:numFmt w:val="decimal"/>
      <w:suff w:val="space"/>
      <w:lvlText w:val="(%1)"/>
      <w:lvlJc w:val="left"/>
    </w:lvl>
  </w:abstractNum>
  <w:abstractNum w:abstractNumId="1">
    <w:nsid w:val="CAECC39A"/>
    <w:multiLevelType w:val="multilevel"/>
    <w:tmpl w:val="CAECC39A"/>
    <w:lvl w:ilvl="0" w:tentative="0">
      <w:start w:val="1"/>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D6D42F11"/>
    <w:multiLevelType w:val="singleLevel"/>
    <w:tmpl w:val="D6D42F11"/>
    <w:lvl w:ilvl="0" w:tentative="0">
      <w:start w:val="1"/>
      <w:numFmt w:val="decimal"/>
      <w:suff w:val="nothing"/>
      <w:lvlText w:val="（%1）"/>
      <w:lvlJc w:val="left"/>
    </w:lvl>
  </w:abstractNum>
  <w:abstractNum w:abstractNumId="3">
    <w:nsid w:val="03339D0A"/>
    <w:multiLevelType w:val="singleLevel"/>
    <w:tmpl w:val="03339D0A"/>
    <w:lvl w:ilvl="0" w:tentative="0">
      <w:start w:val="1"/>
      <w:numFmt w:val="decimal"/>
      <w:suff w:val="nothing"/>
      <w:lvlText w:val="（%1）"/>
      <w:lvlJc w:val="left"/>
    </w:lvl>
  </w:abstractNum>
  <w:abstractNum w:abstractNumId="4">
    <w:nsid w:val="1F5987DC"/>
    <w:multiLevelType w:val="singleLevel"/>
    <w:tmpl w:val="1F5987DC"/>
    <w:lvl w:ilvl="0" w:tentative="0">
      <w:start w:val="1"/>
      <w:numFmt w:val="decimal"/>
      <w:suff w:val="nothing"/>
      <w:lvlText w:val="（%1）"/>
      <w:lvlJc w:val="left"/>
    </w:lvl>
  </w:abstractNum>
  <w:abstractNum w:abstractNumId="5">
    <w:nsid w:val="4DE56EB8"/>
    <w:multiLevelType w:val="singleLevel"/>
    <w:tmpl w:val="4DE56EB8"/>
    <w:lvl w:ilvl="0" w:tentative="0">
      <w:start w:val="1"/>
      <w:numFmt w:val="decimal"/>
      <w:suff w:val="nothing"/>
      <w:lvlText w:val="（%1）"/>
      <w:lvlJc w:val="left"/>
    </w:lvl>
  </w:abstractNum>
  <w:abstractNum w:abstractNumId="6">
    <w:nsid w:val="7E5082B4"/>
    <w:multiLevelType w:val="singleLevel"/>
    <w:tmpl w:val="7E5082B4"/>
    <w:lvl w:ilvl="0" w:tentative="0">
      <w:start w:val="1"/>
      <w:numFmt w:val="decimal"/>
      <w:suff w:val="space"/>
      <w:lvlText w:val="(%1)"/>
      <w:lvlJc w:val="left"/>
      <w:pPr>
        <w:ind w:left="50" w:leftChars="0" w:firstLine="0" w:firstLineChars="0"/>
      </w:pPr>
    </w:lvl>
  </w:abstractNum>
  <w:num w:numId="1">
    <w:abstractNumId w:val="1"/>
  </w:num>
  <w:num w:numId="2">
    <w:abstractNumId w:val="0"/>
  </w:num>
  <w:num w:numId="3">
    <w:abstractNumId w:val="6"/>
  </w:num>
  <w:num w:numId="4">
    <w:abstractNumId w:val="2"/>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U4MTA3NzQwMjg2ODA5NmQ0ZmZkYmUyZGI1NTcifQ=="/>
  </w:docVars>
  <w:rsids>
    <w:rsidRoot w:val="7AFB11C2"/>
    <w:rsid w:val="00296707"/>
    <w:rsid w:val="0266513C"/>
    <w:rsid w:val="07383D2F"/>
    <w:rsid w:val="074D53D1"/>
    <w:rsid w:val="09A352A2"/>
    <w:rsid w:val="0AF20C86"/>
    <w:rsid w:val="0F345281"/>
    <w:rsid w:val="148A2539"/>
    <w:rsid w:val="174441D6"/>
    <w:rsid w:val="17923F3F"/>
    <w:rsid w:val="18F12A92"/>
    <w:rsid w:val="19397563"/>
    <w:rsid w:val="1EEE2318"/>
    <w:rsid w:val="23CE7EF7"/>
    <w:rsid w:val="23E172BF"/>
    <w:rsid w:val="23F20620"/>
    <w:rsid w:val="2F413D59"/>
    <w:rsid w:val="2FED4FA2"/>
    <w:rsid w:val="32E55F9C"/>
    <w:rsid w:val="368408B5"/>
    <w:rsid w:val="368D036D"/>
    <w:rsid w:val="39795B8F"/>
    <w:rsid w:val="3C3D5517"/>
    <w:rsid w:val="3F907590"/>
    <w:rsid w:val="43A7408E"/>
    <w:rsid w:val="4A294493"/>
    <w:rsid w:val="4FE468F1"/>
    <w:rsid w:val="554665A1"/>
    <w:rsid w:val="5551374B"/>
    <w:rsid w:val="56164593"/>
    <w:rsid w:val="66CF401E"/>
    <w:rsid w:val="67DB1525"/>
    <w:rsid w:val="6C3D664E"/>
    <w:rsid w:val="6E4751B4"/>
    <w:rsid w:val="71D3628F"/>
    <w:rsid w:val="72364CAA"/>
    <w:rsid w:val="74463A57"/>
    <w:rsid w:val="75CE0423"/>
    <w:rsid w:val="770A2A28"/>
    <w:rsid w:val="7AFB11C2"/>
    <w:rsid w:val="7B577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1090</Words>
  <Characters>6530</Characters>
  <Lines>0</Lines>
  <Paragraphs>0</Paragraphs>
  <TotalTime>1</TotalTime>
  <ScaleCrop>false</ScaleCrop>
  <LinksUpToDate>false</LinksUpToDate>
  <CharactersWithSpaces>7558</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2022-10-31T00:42:00Z</dcterms:created>
  <dc:creator>njm</dc:creator>
  <cp:lastModifiedBy>lenovo</cp:lastModifiedBy>
  <dcterms:modified xsi:type="dcterms:W3CDTF">2023-12-26T02:04:41Z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9258AF9EAA7249CD8EE6746BB6B462F4</vt:lpwstr>
  </property>
</Properties>
</file>