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C4B8B" w14:textId="77777777" w:rsidR="00CC0345" w:rsidRDefault="00CC0345" w:rsidP="00CC0345">
      <w:pPr>
        <w:jc w:val="right"/>
      </w:pPr>
    </w:p>
    <w:p w14:paraId="631B0408" w14:textId="77777777" w:rsidR="00CC0345" w:rsidRDefault="00CC0345" w:rsidP="00CC0345">
      <w:pPr>
        <w:jc w:val="right"/>
      </w:pPr>
      <w:r>
        <w:rPr>
          <w:noProof/>
        </w:rPr>
        <w:drawing>
          <wp:inline distT="0" distB="0" distL="0" distR="0" wp14:anchorId="1B72EF73" wp14:editId="2358CB06">
            <wp:extent cx="5274310" cy="3939540"/>
            <wp:effectExtent l="0" t="0" r="0" b="0"/>
            <wp:docPr id="481388140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E7698E0" w14:textId="77777777" w:rsidR="00CC0345" w:rsidRDefault="00CC0345" w:rsidP="00CC0345">
      <w:pPr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715A28" wp14:editId="379C741E">
                <wp:simplePos x="0" y="0"/>
                <wp:positionH relativeFrom="column">
                  <wp:posOffset>12065</wp:posOffset>
                </wp:positionH>
                <wp:positionV relativeFrom="paragraph">
                  <wp:posOffset>97790</wp:posOffset>
                </wp:positionV>
                <wp:extent cx="5486400" cy="357505"/>
                <wp:effectExtent l="2540" t="4445" r="0" b="0"/>
                <wp:wrapNone/>
                <wp:docPr id="8878788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57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7781BF" w14:textId="77777777" w:rsidR="00CC0345" w:rsidRPr="004C3EC4" w:rsidRDefault="00CC0345" w:rsidP="00CC0345">
                            <w:pPr>
                              <w:pStyle w:val="Caption"/>
                              <w:jc w:val="center"/>
                              <w:rPr>
                                <w:rFonts w:cstheme="minorHAnsi"/>
                                <w:b/>
                                <w:bCs/>
                                <w:i w:val="0"/>
                                <w:iCs w:val="0"/>
                                <w:noProof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color w:val="FF0000"/>
                                <w:sz w:val="22"/>
                                <w:szCs w:val="22"/>
                              </w:rPr>
                              <w:t xml:space="preserve">Chart 1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Sample </w:t>
                            </w:r>
                            <w:r w:rsidRPr="00FE5D7F"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Distribute</w:t>
                            </w:r>
                            <w:r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</w:t>
                            </w:r>
                            <w:r w:rsidRPr="00FE5D7F"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according to demographic variables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715A2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.95pt;margin-top:7.7pt;width:6in;height:28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" stroked="f">
                <v:textbox inset="0,0,0,0">
                  <w:txbxContent>
                    <w:p w14:paraId="6B7781BF" w14:textId="77777777" w:rsidR="00CC0345" w:rsidRPr="004C3EC4" w:rsidRDefault="00CC0345" w:rsidP="00CC0345">
                      <w:pPr>
                        <w:pStyle w:val="Caption"/>
                        <w:jc w:val="center"/>
                        <w:rPr>
                          <w:rFonts w:cstheme="minorHAnsi"/>
                          <w:b/>
                          <w:bCs/>
                          <w:i w:val="0"/>
                          <w:iCs w:val="0"/>
                          <w:noProof/>
                          <w:sz w:val="36"/>
                          <w:szCs w:val="36"/>
                        </w:rPr>
                      </w:pPr>
                      <w:r>
                        <w:rPr>
                          <w:rFonts w:cs="Calibri"/>
                          <w:b/>
                          <w:bCs/>
                          <w:i w:val="0"/>
                          <w:iCs w:val="0"/>
                          <w:color w:val="FF0000"/>
                          <w:sz w:val="22"/>
                          <w:szCs w:val="22"/>
                        </w:rPr>
                        <w:t xml:space="preserve">Chart 1 </w:t>
                      </w:r>
                      <w:r>
                        <w:rPr>
                          <w:rFonts w:cs="Calibri" w:hint="cs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 xml:space="preserve">Sample </w:t>
                      </w:r>
                      <w:r w:rsidRPr="00FE5D7F">
                        <w:rPr>
                          <w:rFonts w:cs="Calibri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>Distribute</w:t>
                      </w:r>
                      <w:r>
                        <w:rPr>
                          <w:rFonts w:cs="Calibri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>d</w:t>
                      </w:r>
                      <w:r w:rsidRPr="00FE5D7F">
                        <w:rPr>
                          <w:rFonts w:cs="Calibri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cs="Calibri" w:hint="cs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>according to demographic variables</w:t>
                      </w:r>
                    </w:p>
                  </w:txbxContent>
                </v:textbox>
              </v:shape>
            </w:pict>
          </mc:Fallback>
        </mc:AlternateContent>
      </w:r>
    </w:p>
    <w:p w14:paraId="46D3876A" w14:textId="77777777" w:rsidR="00CC0345" w:rsidRPr="005419E5" w:rsidRDefault="00CC0345" w:rsidP="00CC0345">
      <w:pPr>
        <w:jc w:val="right"/>
      </w:pPr>
    </w:p>
    <w:p w14:paraId="3BFED6A2" w14:textId="77777777" w:rsidR="00CC0345" w:rsidRPr="00273D99" w:rsidRDefault="00CC0345" w:rsidP="00CC0345">
      <w:pPr>
        <w:jc w:val="right"/>
        <w:rPr>
          <w:rFonts w:ascii="Andalus" w:hAnsi="Andalus" w:cs="Andalus"/>
          <w:sz w:val="20"/>
          <w:szCs w:val="20"/>
          <w:lang w:bidi="ar-SY"/>
        </w:rPr>
      </w:pPr>
    </w:p>
    <w:p w14:paraId="3A7CD89F" w14:textId="77777777" w:rsidR="00CC0345" w:rsidRPr="00273D99" w:rsidRDefault="00CC0345" w:rsidP="00CC0345">
      <w:pPr>
        <w:pStyle w:val="Caption"/>
        <w:keepNext/>
        <w:jc w:val="right"/>
        <w:rPr>
          <w:rFonts w:ascii="Andalus" w:hAnsi="Andalus" w:cs="Andalus"/>
          <w:b/>
          <w:bCs/>
          <w:i w:val="0"/>
          <w:iCs w:val="0"/>
          <w:color w:val="FF0000"/>
          <w:sz w:val="20"/>
          <w:szCs w:val="20"/>
          <w:lang w:bidi="ar-SY"/>
        </w:rPr>
      </w:pPr>
      <w:r>
        <w:rPr>
          <w:rFonts w:ascii="Andalus" w:hAnsi="Andalus" w:cs="Andalus"/>
          <w:b/>
          <w:bCs/>
          <w:i w:val="0"/>
          <w:iCs w:val="0"/>
          <w:noProof/>
          <w:color w:val="FF0000"/>
          <w:sz w:val="20"/>
          <w:szCs w:val="20"/>
        </w:rPr>
        <w:lastRenderedPageBreak/>
        <w:drawing>
          <wp:inline distT="0" distB="0" distL="0" distR="0" wp14:anchorId="081F7699" wp14:editId="3A157AF0">
            <wp:extent cx="5274310" cy="7856220"/>
            <wp:effectExtent l="0" t="0" r="0" b="0"/>
            <wp:docPr id="631086905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28F2872" w14:textId="77777777" w:rsidR="00CC0345" w:rsidRPr="00273D99" w:rsidRDefault="00CC0345" w:rsidP="00CC0345">
      <w:pPr>
        <w:pStyle w:val="Caption"/>
        <w:keepNext/>
        <w:jc w:val="right"/>
        <w:rPr>
          <w:rFonts w:ascii="Andalus" w:hAnsi="Andalus" w:cs="Andalus"/>
          <w:b/>
          <w:bCs/>
          <w:i w:val="0"/>
          <w:iCs w:val="0"/>
          <w:sz w:val="20"/>
          <w:szCs w:val="20"/>
        </w:rPr>
      </w:pPr>
    </w:p>
    <w:p w14:paraId="290F91B4" w14:textId="77777777" w:rsidR="00CC0345" w:rsidRPr="00273D99" w:rsidRDefault="00CC0345" w:rsidP="00CC0345">
      <w:pPr>
        <w:jc w:val="right"/>
        <w:rPr>
          <w:rFonts w:ascii="Andalus" w:hAnsi="Andalus" w:cs="Andalus"/>
          <w:noProof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1A1B3B" wp14:editId="3593A2AA">
                <wp:simplePos x="0" y="0"/>
                <wp:positionH relativeFrom="column">
                  <wp:posOffset>-278130</wp:posOffset>
                </wp:positionH>
                <wp:positionV relativeFrom="paragraph">
                  <wp:posOffset>252095</wp:posOffset>
                </wp:positionV>
                <wp:extent cx="5486400" cy="297815"/>
                <wp:effectExtent l="0" t="0" r="0" b="0"/>
                <wp:wrapNone/>
                <wp:docPr id="95115782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86400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0FBDDE3" w14:textId="77777777" w:rsidR="00CC0345" w:rsidRPr="004C3EC4" w:rsidRDefault="00CC0345" w:rsidP="00CC0345">
                            <w:pPr>
                              <w:pStyle w:val="Caption"/>
                              <w:jc w:val="center"/>
                              <w:rPr>
                                <w:rFonts w:cstheme="minorHAnsi"/>
                                <w:b/>
                                <w:bCs/>
                                <w:i w:val="0"/>
                                <w:iCs w:val="0"/>
                                <w:noProof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color w:val="FF0000"/>
                                <w:sz w:val="22"/>
                                <w:szCs w:val="22"/>
                              </w:rPr>
                              <w:t>Chart 2</w:t>
                            </w:r>
                            <w:r w:rsidRPr="00C44232">
                              <w:rPr>
                                <w:rFonts w:cs="Calibri" w:hint="cs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Sample</w:t>
                            </w:r>
                            <w:r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E5D7F"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Distribute</w:t>
                            </w:r>
                            <w:r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d </w:t>
                            </w:r>
                            <w:r>
                              <w:rPr>
                                <w:rFonts w:cs="Calibri" w:hint="cs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according to disease variables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1A1B3B" id="_x0000_s1027" type="#_x0000_t202" style="position:absolute;margin-left:-21.9pt;margin-top:19.85pt;width:6in;height:23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" stroked="f">
                <v:textbox style="mso-fit-shape-to-text:t" inset="0,0,0,0">
                  <w:txbxContent>
                    <w:p w14:paraId="00FBDDE3" w14:textId="77777777" w:rsidR="00CC0345" w:rsidRPr="004C3EC4" w:rsidRDefault="00CC0345" w:rsidP="00CC0345">
                      <w:pPr>
                        <w:pStyle w:val="Caption"/>
                        <w:jc w:val="center"/>
                        <w:rPr>
                          <w:rFonts w:cstheme="minorHAnsi"/>
                          <w:b/>
                          <w:bCs/>
                          <w:i w:val="0"/>
                          <w:iCs w:val="0"/>
                          <w:noProof/>
                          <w:sz w:val="36"/>
                          <w:szCs w:val="36"/>
                        </w:rPr>
                      </w:pPr>
                      <w:r>
                        <w:rPr>
                          <w:rFonts w:cs="Calibri"/>
                          <w:b/>
                          <w:bCs/>
                          <w:i w:val="0"/>
                          <w:iCs w:val="0"/>
                          <w:color w:val="FF0000"/>
                          <w:sz w:val="22"/>
                          <w:szCs w:val="22"/>
                        </w:rPr>
                        <w:t>Chart 2</w:t>
                      </w:r>
                      <w:r w:rsidRPr="00C44232">
                        <w:rPr>
                          <w:rFonts w:cs="Calibri" w:hint="cs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cs="Calibri" w:hint="cs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>Sample</w:t>
                      </w:r>
                      <w:r>
                        <w:rPr>
                          <w:rFonts w:cs="Calibri"/>
                          <w:b/>
                          <w:bCs/>
                          <w:i w:val="0"/>
                          <w:iCs w:val="0"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 w:rsidRPr="00FE5D7F">
                        <w:rPr>
                          <w:rFonts w:cs="Calibri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>Distribute</w:t>
                      </w:r>
                      <w:r>
                        <w:rPr>
                          <w:rFonts w:cs="Calibri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 xml:space="preserve">d </w:t>
                      </w:r>
                      <w:r>
                        <w:rPr>
                          <w:rFonts w:cs="Calibri" w:hint="cs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>according to disease variables</w:t>
                      </w:r>
                    </w:p>
                  </w:txbxContent>
                </v:textbox>
              </v:shape>
            </w:pict>
          </mc:Fallback>
        </mc:AlternateContent>
      </w:r>
    </w:p>
    <w:p w14:paraId="55557CA2" w14:textId="77777777" w:rsidR="00CC0345" w:rsidRPr="00273D99" w:rsidRDefault="00CC0345" w:rsidP="00CC0345">
      <w:pPr>
        <w:tabs>
          <w:tab w:val="left" w:pos="1755"/>
        </w:tabs>
        <w:jc w:val="right"/>
        <w:rPr>
          <w:rFonts w:ascii="Andalus" w:hAnsi="Andalus" w:cs="Andalus"/>
          <w:sz w:val="20"/>
          <w:szCs w:val="20"/>
          <w:lang w:bidi="ar-SY"/>
        </w:rPr>
      </w:pPr>
    </w:p>
    <w:p w14:paraId="4B9B2F50" w14:textId="77777777" w:rsidR="00CC0345" w:rsidRPr="00CB25FA" w:rsidRDefault="00CC0345" w:rsidP="00CC0345">
      <w:pPr>
        <w:jc w:val="right"/>
        <w:rPr>
          <w:rFonts w:ascii="Andalus" w:hAnsi="Andalus" w:cs="Andalus"/>
          <w:sz w:val="20"/>
          <w:szCs w:val="20"/>
          <w:lang w:bidi="ar-SY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D433BD" wp14:editId="16D1CDA7">
                <wp:simplePos x="0" y="0"/>
                <wp:positionH relativeFrom="margin">
                  <wp:posOffset>3175</wp:posOffset>
                </wp:positionH>
                <wp:positionV relativeFrom="paragraph">
                  <wp:posOffset>5847080</wp:posOffset>
                </wp:positionV>
                <wp:extent cx="5486400" cy="297815"/>
                <wp:effectExtent l="0" t="0" r="0" b="0"/>
                <wp:wrapNone/>
                <wp:docPr id="134396532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86400" cy="29781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2153392" w14:textId="77777777" w:rsidR="00CC0345" w:rsidRPr="004C3EC4" w:rsidRDefault="00CC0345" w:rsidP="00CC0345">
                            <w:pPr>
                              <w:pStyle w:val="Caption"/>
                              <w:jc w:val="center"/>
                              <w:rPr>
                                <w:rFonts w:cstheme="minorHAnsi"/>
                                <w:b/>
                                <w:bCs/>
                                <w:i w:val="0"/>
                                <w:iCs w:val="0"/>
                                <w:noProof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color w:val="FF0000"/>
                                <w:sz w:val="22"/>
                                <w:szCs w:val="22"/>
                              </w:rPr>
                              <w:t>Chart</w:t>
                            </w:r>
                            <w:r w:rsidRPr="00FE5D7F"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color w:val="FF0000"/>
                                <w:sz w:val="22"/>
                                <w:szCs w:val="22"/>
                              </w:rPr>
                              <w:t xml:space="preserve"> 3</w:t>
                            </w:r>
                            <w:r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FE5D7F">
                              <w:rPr>
                                <w:rFonts w:cs="Calibri"/>
                                <w:b/>
                                <w:bCs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Distribution of age groups, sex, and smoking habit according to surgical thyroid lesions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D433BD" id="Text Box 5" o:spid="_x0000_s1028" type="#_x0000_t202" style="position:absolute;margin-left:.25pt;margin-top:460.4pt;width:6in;height:23.4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" stroked="f">
                <v:textbox style="mso-fit-shape-to-text:t" inset="0,0,0,0">
                  <w:txbxContent>
                    <w:p w14:paraId="02153392" w14:textId="77777777" w:rsidR="00CC0345" w:rsidRPr="004C3EC4" w:rsidRDefault="00CC0345" w:rsidP="00CC0345">
                      <w:pPr>
                        <w:pStyle w:val="Caption"/>
                        <w:jc w:val="center"/>
                        <w:rPr>
                          <w:rFonts w:cstheme="minorHAnsi"/>
                          <w:b/>
                          <w:bCs/>
                          <w:i w:val="0"/>
                          <w:iCs w:val="0"/>
                          <w:noProof/>
                          <w:sz w:val="36"/>
                          <w:szCs w:val="36"/>
                        </w:rPr>
                      </w:pPr>
                      <w:r>
                        <w:rPr>
                          <w:rFonts w:cs="Calibri"/>
                          <w:b/>
                          <w:bCs/>
                          <w:i w:val="0"/>
                          <w:iCs w:val="0"/>
                          <w:color w:val="FF0000"/>
                          <w:sz w:val="22"/>
                          <w:szCs w:val="22"/>
                        </w:rPr>
                        <w:t>Chart</w:t>
                      </w:r>
                      <w:r w:rsidRPr="00FE5D7F">
                        <w:rPr>
                          <w:rFonts w:cs="Calibri"/>
                          <w:b/>
                          <w:bCs/>
                          <w:i w:val="0"/>
                          <w:iCs w:val="0"/>
                          <w:color w:val="FF0000"/>
                          <w:sz w:val="22"/>
                          <w:szCs w:val="22"/>
                        </w:rPr>
                        <w:t xml:space="preserve"> 3</w:t>
                      </w:r>
                      <w:r>
                        <w:rPr>
                          <w:rFonts w:cs="Calibri"/>
                          <w:b/>
                          <w:bCs/>
                          <w:i w:val="0"/>
                          <w:iCs w:val="0"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 w:rsidRPr="00FE5D7F">
                        <w:rPr>
                          <w:rFonts w:cs="Calibri"/>
                          <w:b/>
                          <w:bCs/>
                          <w:i w:val="0"/>
                          <w:iCs w:val="0"/>
                          <w:sz w:val="22"/>
                          <w:szCs w:val="22"/>
                        </w:rPr>
                        <w:t>Distribution of age groups, sex, and smoking habit according to surgical thyroid lesions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ndalus" w:hAnsi="Andalus" w:cs="Andalus"/>
          <w:noProof/>
          <w:sz w:val="20"/>
          <w:szCs w:val="20"/>
        </w:rPr>
        <w:drawing>
          <wp:inline distT="0" distB="0" distL="0" distR="0" wp14:anchorId="09CB3A0A" wp14:editId="547E5837">
            <wp:extent cx="5274310" cy="5387340"/>
            <wp:effectExtent l="0" t="0" r="0" b="0"/>
            <wp:docPr id="371112021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202CBFB4" w14:textId="77777777" w:rsidR="00755780" w:rsidRDefault="00755780"/>
    <w:sectPr w:rsidR="00755780" w:rsidSect="0004026B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6154853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0B13DE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  <w:rtl/>
          </w:rPr>
          <w:t>16</w:t>
        </w:r>
        <w:r>
          <w:rPr>
            <w:noProof/>
          </w:rPr>
          <w:fldChar w:fldCharType="end"/>
        </w:r>
      </w:p>
    </w:sdtContent>
  </w:sdt>
  <w:p w14:paraId="5A05F5FA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345"/>
    <w:rsid w:val="0004026B"/>
    <w:rsid w:val="00755780"/>
    <w:rsid w:val="00857596"/>
    <w:rsid w:val="00C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6EE77"/>
  <w15:chartTrackingRefBased/>
  <w15:docId w15:val="{1C6EE7E3-93FE-4912-AE2C-3FFEBF471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345"/>
    <w:pPr>
      <w:bidi/>
    </w:pPr>
    <w:rPr>
      <w:kern w:val="0"/>
      <w:sz w:val="2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C0345"/>
    <w:pPr>
      <w:spacing w:after="200" w:line="240" w:lineRule="auto"/>
    </w:pPr>
    <w:rPr>
      <w:i/>
      <w:iCs/>
      <w:color w:val="44546A" w:themeColor="text2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C034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0345"/>
    <w:rPr>
      <w:kern w:val="0"/>
      <w:sz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NULL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>
                <a:solidFill>
                  <a:srgbClr val="FF0000"/>
                </a:solidFill>
              </a:rPr>
              <a:t>chart</a:t>
            </a:r>
            <a:r>
              <a:rPr lang="en-GB" baseline="0">
                <a:solidFill>
                  <a:srgbClr val="FF0000"/>
                </a:solidFill>
              </a:rPr>
              <a:t> 1 </a:t>
            </a:r>
            <a:r>
              <a:rPr lang="en-GB" b="1" i="0">
                <a:effectLst/>
              </a:rPr>
              <a:t>Distribution of Demographic Variables in the Sample</a:t>
            </a:r>
            <a:endParaRPr lang="en-GB" b="0" i="0">
              <a:effectLst/>
            </a:endParaRPr>
          </a:p>
          <a:p>
            <a:pPr>
              <a:defRPr/>
            </a:pPr>
            <a:br>
              <a:rPr lang="en-GB"/>
            </a:b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4828043857869561"/>
          <c:y val="0.19312153195550749"/>
          <c:w val="0.68468368374251798"/>
          <c:h val="0.65976462299490446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non-smoker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68.3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2DE-4A4A-8923-6B46DC90CB5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smoker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31.7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2DE-4A4A-8923-6B46DC90CB5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1">
                  <c:v>88.3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2DE-4A4A-8923-6B46DC90CB58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Sheet1!$E$2:$E$5</c:f>
              <c:numCache>
                <c:formatCode>General</c:formatCode>
                <c:ptCount val="4"/>
                <c:pt idx="1">
                  <c:v>11.7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2DE-4A4A-8923-6B46DC90CB58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010-20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Sheet1!$F$2:$F$5</c:f>
              <c:numCache>
                <c:formatCode>General</c:formatCode>
                <c:ptCount val="4"/>
                <c:pt idx="2">
                  <c:v>4.2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2DE-4A4A-8923-6B46DC90CB58}"/>
            </c:ext>
          </c:extLst>
        </c:ser>
        <c:ser>
          <c:idx val="5"/>
          <c:order val="5"/>
          <c:tx>
            <c:strRef>
              <c:f>Sheet1!$G$1</c:f>
              <c:strCache>
                <c:ptCount val="1"/>
                <c:pt idx="0">
                  <c:v>20-30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Sheet1!$G$2:$G$5</c:f>
              <c:numCache>
                <c:formatCode>General</c:formatCode>
                <c:ptCount val="4"/>
                <c:pt idx="2">
                  <c:v>11.7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2DE-4A4A-8923-6B46DC90CB58}"/>
            </c:ext>
          </c:extLst>
        </c:ser>
        <c:ser>
          <c:idx val="6"/>
          <c:order val="6"/>
          <c:tx>
            <c:strRef>
              <c:f>Sheet1!$H$1</c:f>
              <c:strCache>
                <c:ptCount val="1"/>
                <c:pt idx="0">
                  <c:v>30-40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Sheet1!$H$2:$H$5</c:f>
              <c:numCache>
                <c:formatCode>General</c:formatCode>
                <c:ptCount val="4"/>
                <c:pt idx="2">
                  <c:v>21.7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22DE-4A4A-8923-6B46DC90CB58}"/>
            </c:ext>
          </c:extLst>
        </c:ser>
        <c:ser>
          <c:idx val="7"/>
          <c:order val="7"/>
          <c:tx>
            <c:strRef>
              <c:f>Sheet1!$I$1</c:f>
              <c:strCache>
                <c:ptCount val="1"/>
                <c:pt idx="0">
                  <c:v>40-50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Sheet1!$I$2:$I$5</c:f>
              <c:numCache>
                <c:formatCode>General</c:formatCode>
                <c:ptCount val="4"/>
                <c:pt idx="2">
                  <c:v>32.5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22DE-4A4A-8923-6B46DC90CB58}"/>
            </c:ext>
          </c:extLst>
        </c:ser>
        <c:ser>
          <c:idx val="8"/>
          <c:order val="8"/>
          <c:tx>
            <c:strRef>
              <c:f>Sheet1!$J$1</c:f>
              <c:strCache>
                <c:ptCount val="1"/>
                <c:pt idx="0">
                  <c:v>50-60 </c:v>
                </c:pt>
              </c:strCache>
            </c:strRef>
          </c:tx>
          <c:spPr>
            <a:solidFill>
              <a:schemeClr val="accent5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Sheet1!$J$2:$J$5</c:f>
              <c:numCache>
                <c:formatCode>General</c:formatCode>
                <c:ptCount val="4"/>
                <c:pt idx="2">
                  <c:v>20.8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22DE-4A4A-8923-6B46DC90CB58}"/>
            </c:ext>
          </c:extLst>
        </c:ser>
        <c:ser>
          <c:idx val="9"/>
          <c:order val="9"/>
          <c:tx>
            <c:strRef>
              <c:f>Sheet1!$K$1</c:f>
              <c:strCache>
                <c:ptCount val="1"/>
                <c:pt idx="0">
                  <c:v>60-70</c:v>
                </c:pt>
              </c:strCache>
            </c:strRef>
          </c:tx>
          <c:spPr>
            <a:solidFill>
              <a:schemeClr val="accent1">
                <a:lumMod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Sheet1!$K$2:$K$5</c:f>
              <c:numCache>
                <c:formatCode>General</c:formatCode>
                <c:ptCount val="4"/>
                <c:pt idx="2">
                  <c:v>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22DE-4A4A-8923-6B46DC90CB58}"/>
            </c:ext>
          </c:extLst>
        </c:ser>
        <c:ser>
          <c:idx val="10"/>
          <c:order val="10"/>
          <c:tx>
            <c:strRef>
              <c:f>Sheet1!$L$1</c:f>
              <c:strCache>
                <c:ptCount val="1"/>
                <c:pt idx="0">
                  <c:v>older than 70</c:v>
                </c:pt>
              </c:strCache>
            </c:strRef>
          </c:tx>
          <c:spPr>
            <a:solidFill>
              <a:schemeClr val="accent3">
                <a:lumMod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Sheet1!$A$2:$A$5</c:f>
              <c:strCache>
                <c:ptCount val="3"/>
                <c:pt idx="0">
                  <c:v>habits</c:v>
                </c:pt>
                <c:pt idx="1">
                  <c:v>Gender</c:v>
                </c:pt>
                <c:pt idx="2">
                  <c:v>Age</c:v>
                </c:pt>
              </c:strCache>
            </c:strRef>
          </c:cat>
          <c:val>
            <c:numRef>
              <c:f>Sheet1!$L$2:$L$5</c:f>
              <c:numCache>
                <c:formatCode>General</c:formatCode>
                <c:ptCount val="4"/>
                <c:pt idx="2">
                  <c:v>1.7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22DE-4A4A-8923-6B46DC90CB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4"/>
        <c:overlap val="-65"/>
        <c:axId val="323862224"/>
        <c:axId val="398446656"/>
      </c:barChart>
      <c:catAx>
        <c:axId val="323862224"/>
        <c:scaling>
          <c:orientation val="minMax"/>
        </c:scaling>
        <c:delete val="0"/>
        <c:axPos val="l"/>
        <c:numFmt formatCode="0.0%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5400000" spcFirstLastPara="1" vertOverflow="ellipsis" wrap="square" anchor="ctr" anchorCtr="0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8446656"/>
        <c:crosses val="autoZero"/>
        <c:auto val="0"/>
        <c:lblAlgn val="ctr"/>
        <c:lblOffset val="100"/>
        <c:noMultiLvlLbl val="0"/>
      </c:catAx>
      <c:valAx>
        <c:axId val="3984466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238622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l"/>
      <c:layout>
        <c:manualLayout>
          <c:xMode val="edge"/>
          <c:yMode val="edge"/>
          <c:x val="1.6855285335901759E-2"/>
          <c:y val="0.2643562446376988"/>
          <c:w val="0.15656569295320144"/>
          <c:h val="0.62579174295084572"/>
        </c:manualLayout>
      </c:layout>
      <c:overlay val="0"/>
      <c:spPr>
        <a:noFill/>
        <a:ln cap="flat" cmpd="thinThick">
          <a:solidFill>
            <a:schemeClr val="accent1"/>
          </a:solidFill>
          <a:prstDash val="dashDot"/>
        </a:ln>
        <a:effectLst/>
      </c:spPr>
      <c:txPr>
        <a:bodyPr rot="0" spcFirstLastPara="1" vertOverflow="ellipsis" vert="horz" wrap="square" anchor="t" anchorCtr="0"/>
        <a:lstStyle/>
        <a:p>
          <a:pPr>
            <a:defRPr sz="900" b="0" i="0" u="none" strike="noStrike" kern="1200" baseline="0">
              <a:ln>
                <a:noFill/>
              </a:ln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1103139557591413E-2"/>
          <c:y val="0.12833849329205368"/>
          <c:w val="0.9048178813911204"/>
          <c:h val="0.65670428967276928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Sheet1!$B$2</c:f>
              <c:strCache>
                <c:ptCount val="1"/>
                <c:pt idx="0">
                  <c:v>not performed</c:v>
                </c:pt>
              </c:strCache>
            </c:strRef>
          </c:tx>
          <c:spPr>
            <a:solidFill>
              <a:schemeClr val="accent1"/>
            </a:solidFill>
            <a:ln w="9525" cmpd="dbl">
              <a:solidFill>
                <a:schemeClr val="accent1"/>
              </a:solidFill>
            </a:ln>
            <a:effectLst/>
          </c:spPr>
          <c:invertIfNegative val="0"/>
          <c:dLbls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27AA-45CD-9030-4BCB9EDACAAB}"/>
                </c:ext>
              </c:extLst>
            </c:dLbl>
            <c:dLbl>
              <c:idx val="2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7AA-45CD-9030-4BCB9EDACAAB}"/>
                </c:ext>
              </c:extLst>
            </c:dLbl>
            <c:dLbl>
              <c:idx val="3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27AA-45CD-9030-4BCB9EDACAAB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Sheet1!$A$3:$A$22</c:f>
              <c:strCache>
                <c:ptCount val="20"/>
                <c:pt idx="0">
                  <c:v>neck echography</c:v>
                </c:pt>
                <c:pt idx="1">
                  <c:v>CXR</c:v>
                </c:pt>
                <c:pt idx="2">
                  <c:v>FNA</c:v>
                </c:pt>
                <c:pt idx="3">
                  <c:v>neck CT</c:v>
                </c:pt>
                <c:pt idx="4">
                  <c:v>linguial-thyroid cyst excision</c:v>
                </c:pt>
                <c:pt idx="5">
                  <c:v>total thyroidectomy</c:v>
                </c:pt>
                <c:pt idx="6">
                  <c:v>resection of right thyroid lobe</c:v>
                </c:pt>
                <c:pt idx="7">
                  <c:v>resection of left thyroid lobe</c:v>
                </c:pt>
                <c:pt idx="8">
                  <c:v>neck dissection</c:v>
                </c:pt>
                <c:pt idx="9">
                  <c:v>lingual thyroid cyst </c:v>
                </c:pt>
                <c:pt idx="10">
                  <c:v>hyperthyroidism</c:v>
                </c:pt>
                <c:pt idx="11">
                  <c:v>thyroid nodules</c:v>
                </c:pt>
                <c:pt idx="12">
                  <c:v>goitre</c:v>
                </c:pt>
                <c:pt idx="13">
                  <c:v>thyroid neoplasia</c:v>
                </c:pt>
                <c:pt idx="14">
                  <c:v>odor</c:v>
                </c:pt>
                <c:pt idx="15">
                  <c:v>flagyl</c:v>
                </c:pt>
                <c:pt idx="16">
                  <c:v>augmentin</c:v>
                </c:pt>
                <c:pt idx="17">
                  <c:v>asthma</c:v>
                </c:pt>
                <c:pt idx="18">
                  <c:v>pollen and cleaning materials</c:v>
                </c:pt>
                <c:pt idx="19">
                  <c:v>pollen </c:v>
                </c:pt>
              </c:strCache>
            </c:strRef>
          </c:cat>
          <c:val>
            <c:numRef>
              <c:f>Sheet1!$B$3:$B$22</c:f>
              <c:numCache>
                <c:formatCode>General</c:formatCode>
                <c:ptCount val="20"/>
                <c:pt idx="0">
                  <c:v>5.8</c:v>
                </c:pt>
                <c:pt idx="1">
                  <c:v>60</c:v>
                </c:pt>
                <c:pt idx="2">
                  <c:v>45.8</c:v>
                </c:pt>
                <c:pt idx="3">
                  <c:v>97.5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7AA-45CD-9030-4BCB9EDACAAB}"/>
            </c:ext>
          </c:extLst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performed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Sheet1!$A$3:$A$22</c:f>
              <c:strCache>
                <c:ptCount val="20"/>
                <c:pt idx="0">
                  <c:v>neck echography</c:v>
                </c:pt>
                <c:pt idx="1">
                  <c:v>CXR</c:v>
                </c:pt>
                <c:pt idx="2">
                  <c:v>FNA</c:v>
                </c:pt>
                <c:pt idx="3">
                  <c:v>neck CT</c:v>
                </c:pt>
                <c:pt idx="4">
                  <c:v>linguial-thyroid cyst excision</c:v>
                </c:pt>
                <c:pt idx="5">
                  <c:v>total thyroidectomy</c:v>
                </c:pt>
                <c:pt idx="6">
                  <c:v>resection of right thyroid lobe</c:v>
                </c:pt>
                <c:pt idx="7">
                  <c:v>resection of left thyroid lobe</c:v>
                </c:pt>
                <c:pt idx="8">
                  <c:v>neck dissection</c:v>
                </c:pt>
                <c:pt idx="9">
                  <c:v>lingual thyroid cyst </c:v>
                </c:pt>
                <c:pt idx="10">
                  <c:v>hyperthyroidism</c:v>
                </c:pt>
                <c:pt idx="11">
                  <c:v>thyroid nodules</c:v>
                </c:pt>
                <c:pt idx="12">
                  <c:v>goitre</c:v>
                </c:pt>
                <c:pt idx="13">
                  <c:v>thyroid neoplasia</c:v>
                </c:pt>
                <c:pt idx="14">
                  <c:v>odor</c:v>
                </c:pt>
                <c:pt idx="15">
                  <c:v>flagyl</c:v>
                </c:pt>
                <c:pt idx="16">
                  <c:v>augmentin</c:v>
                </c:pt>
                <c:pt idx="17">
                  <c:v>asthma</c:v>
                </c:pt>
                <c:pt idx="18">
                  <c:v>pollen and cleaning materials</c:v>
                </c:pt>
                <c:pt idx="19">
                  <c:v>pollen </c:v>
                </c:pt>
              </c:strCache>
            </c:strRef>
          </c:cat>
          <c:val>
            <c:numRef>
              <c:f>Sheet1!$C$3:$C$22</c:f>
              <c:numCache>
                <c:formatCode>General</c:formatCode>
                <c:ptCount val="20"/>
                <c:pt idx="0">
                  <c:v>94.2</c:v>
                </c:pt>
                <c:pt idx="1">
                  <c:v>40</c:v>
                </c:pt>
                <c:pt idx="2">
                  <c:v>54.2</c:v>
                </c:pt>
                <c:pt idx="3">
                  <c:v>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7AA-45CD-9030-4BCB9EDACAAB}"/>
            </c:ext>
          </c:extLst>
        </c:ser>
        <c:ser>
          <c:idx val="2"/>
          <c:order val="2"/>
          <c:tx>
            <c:strRef>
              <c:f>Sheet1!$D$2</c:f>
              <c:strCache>
                <c:ptCount val="1"/>
                <c:pt idx="0">
                  <c:v>surgical procedure</c:v>
                </c:pt>
              </c:strCache>
            </c:strRef>
          </c:tx>
          <c:spPr>
            <a:solidFill>
              <a:schemeClr val="accent1"/>
            </a:solidFill>
            <a:ln>
              <a:solidFill>
                <a:schemeClr val="accent1"/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Sheet1!$A$3:$A$22</c:f>
              <c:strCache>
                <c:ptCount val="20"/>
                <c:pt idx="0">
                  <c:v>neck echography</c:v>
                </c:pt>
                <c:pt idx="1">
                  <c:v>CXR</c:v>
                </c:pt>
                <c:pt idx="2">
                  <c:v>FNA</c:v>
                </c:pt>
                <c:pt idx="3">
                  <c:v>neck CT</c:v>
                </c:pt>
                <c:pt idx="4">
                  <c:v>linguial-thyroid cyst excision</c:v>
                </c:pt>
                <c:pt idx="5">
                  <c:v>total thyroidectomy</c:v>
                </c:pt>
                <c:pt idx="6">
                  <c:v>resection of right thyroid lobe</c:v>
                </c:pt>
                <c:pt idx="7">
                  <c:v>resection of left thyroid lobe</c:v>
                </c:pt>
                <c:pt idx="8">
                  <c:v>neck dissection</c:v>
                </c:pt>
                <c:pt idx="9">
                  <c:v>lingual thyroid cyst </c:v>
                </c:pt>
                <c:pt idx="10">
                  <c:v>hyperthyroidism</c:v>
                </c:pt>
                <c:pt idx="11">
                  <c:v>thyroid nodules</c:v>
                </c:pt>
                <c:pt idx="12">
                  <c:v>goitre</c:v>
                </c:pt>
                <c:pt idx="13">
                  <c:v>thyroid neoplasia</c:v>
                </c:pt>
                <c:pt idx="14">
                  <c:v>odor</c:v>
                </c:pt>
                <c:pt idx="15">
                  <c:v>flagyl</c:v>
                </c:pt>
                <c:pt idx="16">
                  <c:v>augmentin</c:v>
                </c:pt>
                <c:pt idx="17">
                  <c:v>asthma</c:v>
                </c:pt>
                <c:pt idx="18">
                  <c:v>pollen and cleaning materials</c:v>
                </c:pt>
                <c:pt idx="19">
                  <c:v>pollen </c:v>
                </c:pt>
              </c:strCache>
            </c:strRef>
          </c:cat>
          <c:val>
            <c:numRef>
              <c:f>Sheet1!$D$3:$D$22</c:f>
              <c:numCache>
                <c:formatCode>General</c:formatCode>
                <c:ptCount val="20"/>
                <c:pt idx="4">
                  <c:v>3.3</c:v>
                </c:pt>
                <c:pt idx="5">
                  <c:v>69.2</c:v>
                </c:pt>
                <c:pt idx="6">
                  <c:v>14.2</c:v>
                </c:pt>
                <c:pt idx="7">
                  <c:v>12.5</c:v>
                </c:pt>
                <c:pt idx="8">
                  <c:v>97.5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27AA-45CD-9030-4BCB9EDACAAB}"/>
            </c:ext>
          </c:extLst>
        </c:ser>
        <c:ser>
          <c:idx val="3"/>
          <c:order val="3"/>
          <c:tx>
            <c:strRef>
              <c:f>Sheet1!$E$2</c:f>
              <c:strCache>
                <c:ptCount val="1"/>
                <c:pt idx="0">
                  <c:v>diagnosis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Sheet1!$A$3:$A$22</c:f>
              <c:strCache>
                <c:ptCount val="20"/>
                <c:pt idx="0">
                  <c:v>neck echography</c:v>
                </c:pt>
                <c:pt idx="1">
                  <c:v>CXR</c:v>
                </c:pt>
                <c:pt idx="2">
                  <c:v>FNA</c:v>
                </c:pt>
                <c:pt idx="3">
                  <c:v>neck CT</c:v>
                </c:pt>
                <c:pt idx="4">
                  <c:v>linguial-thyroid cyst excision</c:v>
                </c:pt>
                <c:pt idx="5">
                  <c:v>total thyroidectomy</c:v>
                </c:pt>
                <c:pt idx="6">
                  <c:v>resection of right thyroid lobe</c:v>
                </c:pt>
                <c:pt idx="7">
                  <c:v>resection of left thyroid lobe</c:v>
                </c:pt>
                <c:pt idx="8">
                  <c:v>neck dissection</c:v>
                </c:pt>
                <c:pt idx="9">
                  <c:v>lingual thyroid cyst </c:v>
                </c:pt>
                <c:pt idx="10">
                  <c:v>hyperthyroidism</c:v>
                </c:pt>
                <c:pt idx="11">
                  <c:v>thyroid nodules</c:v>
                </c:pt>
                <c:pt idx="12">
                  <c:v>goitre</c:v>
                </c:pt>
                <c:pt idx="13">
                  <c:v>thyroid neoplasia</c:v>
                </c:pt>
                <c:pt idx="14">
                  <c:v>odor</c:v>
                </c:pt>
                <c:pt idx="15">
                  <c:v>flagyl</c:v>
                </c:pt>
                <c:pt idx="16">
                  <c:v>augmentin</c:v>
                </c:pt>
                <c:pt idx="17">
                  <c:v>asthma</c:v>
                </c:pt>
                <c:pt idx="18">
                  <c:v>pollen and cleaning materials</c:v>
                </c:pt>
                <c:pt idx="19">
                  <c:v>pollen </c:v>
                </c:pt>
              </c:strCache>
            </c:strRef>
          </c:cat>
          <c:val>
            <c:numRef>
              <c:f>Sheet1!$E$3:$E$22</c:f>
              <c:numCache>
                <c:formatCode>General</c:formatCode>
                <c:ptCount val="20"/>
                <c:pt idx="9">
                  <c:v>4.2</c:v>
                </c:pt>
                <c:pt idx="10">
                  <c:v>2.5</c:v>
                </c:pt>
                <c:pt idx="11">
                  <c:v>16.7</c:v>
                </c:pt>
                <c:pt idx="12">
                  <c:v>68.3</c:v>
                </c:pt>
                <c:pt idx="13">
                  <c:v>8.3000000000000007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27AA-45CD-9030-4BCB9EDACAAB}"/>
            </c:ext>
          </c:extLst>
        </c:ser>
        <c:ser>
          <c:idx val="4"/>
          <c:order val="4"/>
          <c:tx>
            <c:strRef>
              <c:f>Sheet1!$F$2</c:f>
              <c:strCache>
                <c:ptCount val="1"/>
                <c:pt idx="0">
                  <c:v>allergic history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Sheet1!$A$3:$A$22</c:f>
              <c:strCache>
                <c:ptCount val="20"/>
                <c:pt idx="0">
                  <c:v>neck echography</c:v>
                </c:pt>
                <c:pt idx="1">
                  <c:v>CXR</c:v>
                </c:pt>
                <c:pt idx="2">
                  <c:v>FNA</c:v>
                </c:pt>
                <c:pt idx="3">
                  <c:v>neck CT</c:v>
                </c:pt>
                <c:pt idx="4">
                  <c:v>linguial-thyroid cyst excision</c:v>
                </c:pt>
                <c:pt idx="5">
                  <c:v>total thyroidectomy</c:v>
                </c:pt>
                <c:pt idx="6">
                  <c:v>resection of right thyroid lobe</c:v>
                </c:pt>
                <c:pt idx="7">
                  <c:v>resection of left thyroid lobe</c:v>
                </c:pt>
                <c:pt idx="8">
                  <c:v>neck dissection</c:v>
                </c:pt>
                <c:pt idx="9">
                  <c:v>lingual thyroid cyst </c:v>
                </c:pt>
                <c:pt idx="10">
                  <c:v>hyperthyroidism</c:v>
                </c:pt>
                <c:pt idx="11">
                  <c:v>thyroid nodules</c:v>
                </c:pt>
                <c:pt idx="12">
                  <c:v>goitre</c:v>
                </c:pt>
                <c:pt idx="13">
                  <c:v>thyroid neoplasia</c:v>
                </c:pt>
                <c:pt idx="14">
                  <c:v>odor</c:v>
                </c:pt>
                <c:pt idx="15">
                  <c:v>flagyl</c:v>
                </c:pt>
                <c:pt idx="16">
                  <c:v>augmentin</c:v>
                </c:pt>
                <c:pt idx="17">
                  <c:v>asthma</c:v>
                </c:pt>
                <c:pt idx="18">
                  <c:v>pollen and cleaning materials</c:v>
                </c:pt>
                <c:pt idx="19">
                  <c:v>pollen </c:v>
                </c:pt>
              </c:strCache>
            </c:strRef>
          </c:cat>
          <c:val>
            <c:numRef>
              <c:f>Sheet1!$F$3:$F$22</c:f>
              <c:numCache>
                <c:formatCode>General</c:formatCode>
                <c:ptCount val="20"/>
                <c:pt idx="14">
                  <c:v>33.299999999999997</c:v>
                </c:pt>
                <c:pt idx="15">
                  <c:v>11.1</c:v>
                </c:pt>
                <c:pt idx="16">
                  <c:v>11.1</c:v>
                </c:pt>
                <c:pt idx="17">
                  <c:v>22.2</c:v>
                </c:pt>
                <c:pt idx="18">
                  <c:v>11.1</c:v>
                </c:pt>
                <c:pt idx="19">
                  <c:v>11.1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27AA-45CD-9030-4BCB9EDACAA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55"/>
        <c:overlap val="-11"/>
        <c:axId val="61879968"/>
        <c:axId val="61884648"/>
      </c:barChart>
      <c:catAx>
        <c:axId val="6187996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884648"/>
        <c:crosses val="autoZero"/>
        <c:auto val="1"/>
        <c:lblAlgn val="ctr"/>
        <c:lblOffset val="100"/>
        <c:noMultiLvlLbl val="0"/>
      </c:catAx>
      <c:valAx>
        <c:axId val="618846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18799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dbl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692841338487878"/>
          <c:y val="5.6009830454361531E-2"/>
          <c:w val="0.82215417751326714"/>
          <c:h val="0.80286170911804344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Thyroid neoplasia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smoker</c:v>
                </c:pt>
                <c:pt idx="1">
                  <c:v>non-smoker</c:v>
                </c:pt>
                <c:pt idx="2">
                  <c:v>female </c:v>
                </c:pt>
                <c:pt idx="3">
                  <c:v>male</c:v>
                </c:pt>
                <c:pt idx="4">
                  <c:v>older than 70 </c:v>
                </c:pt>
                <c:pt idx="5">
                  <c:v>60-70</c:v>
                </c:pt>
                <c:pt idx="6">
                  <c:v>50-60</c:v>
                </c:pt>
                <c:pt idx="7">
                  <c:v>40-50</c:v>
                </c:pt>
                <c:pt idx="8">
                  <c:v>30-40</c:v>
                </c:pt>
                <c:pt idx="9">
                  <c:v>20-30</c:v>
                </c:pt>
                <c:pt idx="10">
                  <c:v>010-20</c:v>
                </c:pt>
              </c:strCache>
            </c:strRef>
          </c:cat>
          <c:val>
            <c:numRef>
              <c:f>Sheet1!$B$2:$B$12</c:f>
              <c:numCache>
                <c:formatCode>General</c:formatCode>
                <c:ptCount val="11"/>
                <c:pt idx="0">
                  <c:v>40</c:v>
                </c:pt>
                <c:pt idx="1">
                  <c:v>60</c:v>
                </c:pt>
                <c:pt idx="2">
                  <c:v>70</c:v>
                </c:pt>
                <c:pt idx="3">
                  <c:v>30</c:v>
                </c:pt>
                <c:pt idx="4">
                  <c:v>0</c:v>
                </c:pt>
                <c:pt idx="5">
                  <c:v>0</c:v>
                </c:pt>
                <c:pt idx="6">
                  <c:v>30</c:v>
                </c:pt>
                <c:pt idx="7">
                  <c:v>20</c:v>
                </c:pt>
                <c:pt idx="8">
                  <c:v>10</c:v>
                </c:pt>
                <c:pt idx="9">
                  <c:v>20</c:v>
                </c:pt>
                <c:pt idx="10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B7C-4223-918E-30D414FBB95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Goitre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smoker</c:v>
                </c:pt>
                <c:pt idx="1">
                  <c:v>non-smoker</c:v>
                </c:pt>
                <c:pt idx="2">
                  <c:v>female </c:v>
                </c:pt>
                <c:pt idx="3">
                  <c:v>male</c:v>
                </c:pt>
                <c:pt idx="4">
                  <c:v>older than 70 </c:v>
                </c:pt>
                <c:pt idx="5">
                  <c:v>60-70</c:v>
                </c:pt>
                <c:pt idx="6">
                  <c:v>50-60</c:v>
                </c:pt>
                <c:pt idx="7">
                  <c:v>40-50</c:v>
                </c:pt>
                <c:pt idx="8">
                  <c:v>30-40</c:v>
                </c:pt>
                <c:pt idx="9">
                  <c:v>20-30</c:v>
                </c:pt>
                <c:pt idx="10">
                  <c:v>010-20</c:v>
                </c:pt>
              </c:strCache>
            </c:strRef>
          </c:cat>
          <c:val>
            <c:numRef>
              <c:f>Sheet1!$C$2:$C$12</c:f>
              <c:numCache>
                <c:formatCode>General</c:formatCode>
                <c:ptCount val="11"/>
                <c:pt idx="0">
                  <c:v>34.1</c:v>
                </c:pt>
                <c:pt idx="1">
                  <c:v>65.900000000000006</c:v>
                </c:pt>
                <c:pt idx="2">
                  <c:v>90.2</c:v>
                </c:pt>
                <c:pt idx="3">
                  <c:v>9.8000000000000007</c:v>
                </c:pt>
                <c:pt idx="4">
                  <c:v>2.4</c:v>
                </c:pt>
                <c:pt idx="5">
                  <c:v>9.8000000000000007</c:v>
                </c:pt>
                <c:pt idx="6">
                  <c:v>20.7</c:v>
                </c:pt>
                <c:pt idx="7">
                  <c:v>34.1</c:v>
                </c:pt>
                <c:pt idx="8">
                  <c:v>20.7</c:v>
                </c:pt>
                <c:pt idx="9">
                  <c:v>9.8000000000000007</c:v>
                </c:pt>
                <c:pt idx="10">
                  <c:v>2.4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B7C-4223-918E-30D414FBB95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Thyroid nodules 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smoker</c:v>
                </c:pt>
                <c:pt idx="1">
                  <c:v>non-smoker</c:v>
                </c:pt>
                <c:pt idx="2">
                  <c:v>female </c:v>
                </c:pt>
                <c:pt idx="3">
                  <c:v>male</c:v>
                </c:pt>
                <c:pt idx="4">
                  <c:v>older than 70 </c:v>
                </c:pt>
                <c:pt idx="5">
                  <c:v>60-70</c:v>
                </c:pt>
                <c:pt idx="6">
                  <c:v>50-60</c:v>
                </c:pt>
                <c:pt idx="7">
                  <c:v>40-50</c:v>
                </c:pt>
                <c:pt idx="8">
                  <c:v>30-40</c:v>
                </c:pt>
                <c:pt idx="9">
                  <c:v>20-30</c:v>
                </c:pt>
                <c:pt idx="10">
                  <c:v>010-20</c:v>
                </c:pt>
              </c:strCache>
            </c:strRef>
          </c:cat>
          <c:val>
            <c:numRef>
              <c:f>Sheet1!$D$2:$D$12</c:f>
              <c:numCache>
                <c:formatCode>General</c:formatCode>
                <c:ptCount val="11"/>
                <c:pt idx="0">
                  <c:v>10</c:v>
                </c:pt>
                <c:pt idx="1">
                  <c:v>90</c:v>
                </c:pt>
                <c:pt idx="2">
                  <c:v>95</c:v>
                </c:pt>
                <c:pt idx="3">
                  <c:v>5</c:v>
                </c:pt>
                <c:pt idx="4">
                  <c:v>0</c:v>
                </c:pt>
                <c:pt idx="5">
                  <c:v>5</c:v>
                </c:pt>
                <c:pt idx="6">
                  <c:v>20</c:v>
                </c:pt>
                <c:pt idx="7">
                  <c:v>25</c:v>
                </c:pt>
                <c:pt idx="8">
                  <c:v>35</c:v>
                </c:pt>
                <c:pt idx="9">
                  <c:v>15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B7C-4223-918E-30D414FBB95C}"/>
            </c:ext>
          </c:extLst>
        </c:ser>
        <c:ser>
          <c:idx val="3"/>
          <c:order val="3"/>
          <c:tx>
            <c:strRef>
              <c:f>Sheet1!$E$1</c:f>
              <c:strCache>
                <c:ptCount val="1"/>
                <c:pt idx="0">
                  <c:v>Hyperthyroidism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smoker</c:v>
                </c:pt>
                <c:pt idx="1">
                  <c:v>non-smoker</c:v>
                </c:pt>
                <c:pt idx="2">
                  <c:v>female </c:v>
                </c:pt>
                <c:pt idx="3">
                  <c:v>male</c:v>
                </c:pt>
                <c:pt idx="4">
                  <c:v>older than 70 </c:v>
                </c:pt>
                <c:pt idx="5">
                  <c:v>60-70</c:v>
                </c:pt>
                <c:pt idx="6">
                  <c:v>50-60</c:v>
                </c:pt>
                <c:pt idx="7">
                  <c:v>40-50</c:v>
                </c:pt>
                <c:pt idx="8">
                  <c:v>30-40</c:v>
                </c:pt>
                <c:pt idx="9">
                  <c:v>20-30</c:v>
                </c:pt>
                <c:pt idx="10">
                  <c:v>010-20</c:v>
                </c:pt>
              </c:strCache>
            </c:strRef>
          </c:cat>
          <c:val>
            <c:numRef>
              <c:f>Sheet1!$E$2:$E$12</c:f>
              <c:numCache>
                <c:formatCode>General</c:formatCode>
                <c:ptCount val="11"/>
                <c:pt idx="0">
                  <c:v>66.7</c:v>
                </c:pt>
                <c:pt idx="1">
                  <c:v>33.299999999999997</c:v>
                </c:pt>
                <c:pt idx="2">
                  <c:v>100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33.299999999999997</c:v>
                </c:pt>
                <c:pt idx="7">
                  <c:v>66.7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CB7C-4223-918E-30D414FBB95C}"/>
            </c:ext>
          </c:extLst>
        </c:ser>
        <c:ser>
          <c:idx val="4"/>
          <c:order val="4"/>
          <c:tx>
            <c:strRef>
              <c:f>Sheet1!$F$1</c:f>
              <c:strCache>
                <c:ptCount val="1"/>
                <c:pt idx="0">
                  <c:v>llingual thyroid cyst 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Sheet1!$A$2:$A$12</c:f>
              <c:strCache>
                <c:ptCount val="11"/>
                <c:pt idx="0">
                  <c:v>smoker</c:v>
                </c:pt>
                <c:pt idx="1">
                  <c:v>non-smoker</c:v>
                </c:pt>
                <c:pt idx="2">
                  <c:v>female </c:v>
                </c:pt>
                <c:pt idx="3">
                  <c:v>male</c:v>
                </c:pt>
                <c:pt idx="4">
                  <c:v>older than 70 </c:v>
                </c:pt>
                <c:pt idx="5">
                  <c:v>60-70</c:v>
                </c:pt>
                <c:pt idx="6">
                  <c:v>50-60</c:v>
                </c:pt>
                <c:pt idx="7">
                  <c:v>40-50</c:v>
                </c:pt>
                <c:pt idx="8">
                  <c:v>30-40</c:v>
                </c:pt>
                <c:pt idx="9">
                  <c:v>20-30</c:v>
                </c:pt>
                <c:pt idx="10">
                  <c:v>010-20</c:v>
                </c:pt>
              </c:strCache>
            </c:strRef>
          </c:cat>
          <c:val>
            <c:numRef>
              <c:f>Sheet1!$F$2:$F$12</c:f>
              <c:numCache>
                <c:formatCode>General</c:formatCode>
                <c:ptCount val="11"/>
                <c:pt idx="0">
                  <c:v>40</c:v>
                </c:pt>
                <c:pt idx="1">
                  <c:v>60</c:v>
                </c:pt>
                <c:pt idx="2">
                  <c:v>60</c:v>
                </c:pt>
                <c:pt idx="3">
                  <c:v>40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20</c:v>
                </c:pt>
                <c:pt idx="8">
                  <c:v>0</c:v>
                </c:pt>
                <c:pt idx="9">
                  <c:v>20</c:v>
                </c:pt>
                <c:pt idx="10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B7C-4223-918E-30D414FBB95C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axId val="563930528"/>
        <c:axId val="563929448"/>
      </c:barChart>
      <c:catAx>
        <c:axId val="56393052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ln>
                  <a:noFill/>
                </a:ln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63929448"/>
        <c:crosses val="autoZero"/>
        <c:auto val="1"/>
        <c:lblAlgn val="ctr"/>
        <c:lblOffset val="100"/>
        <c:noMultiLvlLbl val="0"/>
      </c:catAx>
      <c:valAx>
        <c:axId val="56392944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6393052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bevel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</Words>
  <Characters>15</Characters>
  <Application>Microsoft Office Word</Application>
  <DocSecurity>0</DocSecurity>
  <Lines>1</Lines>
  <Paragraphs>1</Paragraphs>
  <ScaleCrop>false</ScaleCrop>
  <Company>Springer Nature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2024-04-30T02:11:00Z</dcterms:created>
  <dcterms:modified xsi:type="dcterms:W3CDTF">2024-04-30T02:12:00Z</dcterms:modified>
</cp:coreProperties>
</file>