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DB238E" w14:textId="52502B8F" w:rsidR="00BC4D64" w:rsidRPr="00474F1E" w:rsidRDefault="00474F1E">
      <w:r>
        <w:rPr>
          <w:noProof/>
        </w:rPr>
        <w:drawing>
          <wp:inline distT="0" distB="0" distL="0" distR="0" wp14:anchorId="168026B8" wp14:editId="23A7AE6F">
            <wp:extent cx="6346825" cy="4638675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8959B22D-1408-4991-A665-1B44FAC0E19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 w:rsidRPr="00474F1E">
        <w:rPr>
          <w:rFonts w:ascii="Times New Roman" w:hAnsi="Times New Roman" w:cs="Times New Roman"/>
          <w:b/>
          <w:bCs/>
          <w:sz w:val="24"/>
          <w:szCs w:val="24"/>
        </w:rPr>
        <w:t>Supplementary Fig. S1</w:t>
      </w:r>
      <w:r>
        <w:rPr>
          <w:rFonts w:ascii="Times New Roman" w:hAnsi="Times New Roman" w:cs="Times New Roman"/>
          <w:sz w:val="24"/>
          <w:szCs w:val="24"/>
        </w:rPr>
        <w:t xml:space="preserve"> SNP allele accuracy </w:t>
      </w:r>
      <w:r w:rsidR="009325FE">
        <w:rPr>
          <w:rFonts w:ascii="Times New Roman" w:hAnsi="Times New Roman" w:cs="Times New Roman"/>
          <w:sz w:val="24"/>
          <w:szCs w:val="24"/>
        </w:rPr>
        <w:t xml:space="preserve">based on </w:t>
      </w:r>
      <w:r w:rsidR="009325FE" w:rsidRPr="009325FE">
        <w:rPr>
          <w:rFonts w:ascii="Times New Roman" w:hAnsi="Times New Roman" w:cs="Times New Roman"/>
          <w:i/>
          <w:iCs/>
          <w:sz w:val="24"/>
          <w:szCs w:val="24"/>
        </w:rPr>
        <w:t>Pg6</w:t>
      </w:r>
      <w:r w:rsidR="009325FE">
        <w:rPr>
          <w:rFonts w:ascii="Times New Roman" w:hAnsi="Times New Roman" w:cs="Times New Roman"/>
          <w:sz w:val="24"/>
          <w:szCs w:val="24"/>
        </w:rPr>
        <w:t xml:space="preserve"> phenotype postulation </w:t>
      </w:r>
      <w:r>
        <w:rPr>
          <w:rFonts w:ascii="Times New Roman" w:hAnsi="Times New Roman" w:cs="Times New Roman"/>
          <w:sz w:val="24"/>
          <w:szCs w:val="24"/>
        </w:rPr>
        <w:t>tested in two bi-parental mapping populations</w:t>
      </w:r>
      <w:r w:rsidR="005E31D6">
        <w:rPr>
          <w:rFonts w:ascii="Times New Roman" w:hAnsi="Times New Roman" w:cs="Times New Roman"/>
          <w:sz w:val="24"/>
          <w:szCs w:val="24"/>
        </w:rPr>
        <w:t xml:space="preserve"> and a diverse panel of 127 </w:t>
      </w:r>
      <w:r w:rsidR="005E31D6" w:rsidRPr="005E31D6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="005E31D6" w:rsidRPr="005E31D6">
        <w:rPr>
          <w:rFonts w:ascii="Times New Roman" w:hAnsi="Times New Roman" w:cs="Times New Roman"/>
          <w:i/>
          <w:iCs/>
          <w:sz w:val="24"/>
          <w:szCs w:val="24"/>
        </w:rPr>
        <w:t>strigosa</w:t>
      </w:r>
      <w:proofErr w:type="spellEnd"/>
      <w:r w:rsidR="005E31D6">
        <w:rPr>
          <w:rFonts w:ascii="Times New Roman" w:hAnsi="Times New Roman" w:cs="Times New Roman"/>
          <w:sz w:val="24"/>
          <w:szCs w:val="24"/>
        </w:rPr>
        <w:t xml:space="preserve"> accessions;</w:t>
      </w:r>
      <w:r>
        <w:rPr>
          <w:rFonts w:ascii="Times New Roman" w:hAnsi="Times New Roman" w:cs="Times New Roman"/>
          <w:sz w:val="24"/>
          <w:szCs w:val="24"/>
        </w:rPr>
        <w:t xml:space="preserve"> 573582/</w:t>
      </w:r>
      <w:r w:rsidRPr="00474F1E">
        <w:rPr>
          <w:rFonts w:ascii="Times New Roman" w:hAnsi="Times New Roman" w:cs="Times New Roman"/>
          <w:i/>
          <w:iCs/>
          <w:sz w:val="24"/>
          <w:szCs w:val="24"/>
        </w:rPr>
        <w:t>Pg6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25FE">
        <w:rPr>
          <w:rFonts w:ascii="Times New Roman" w:hAnsi="Times New Roman" w:cs="Times New Roman"/>
          <w:sz w:val="24"/>
          <w:szCs w:val="24"/>
        </w:rPr>
        <w:t>F</w:t>
      </w:r>
      <w:r w:rsidR="009325FE" w:rsidRPr="009325FE">
        <w:rPr>
          <w:rFonts w:ascii="Times New Roman" w:hAnsi="Times New Roman" w:cs="Times New Roman"/>
          <w:sz w:val="24"/>
          <w:szCs w:val="24"/>
          <w:vertAlign w:val="subscript"/>
        </w:rPr>
        <w:t>5:6</w:t>
      </w:r>
      <w:r w:rsidR="009325FE">
        <w:rPr>
          <w:rFonts w:ascii="Times New Roman" w:hAnsi="Times New Roman" w:cs="Times New Roman"/>
          <w:sz w:val="24"/>
          <w:szCs w:val="24"/>
        </w:rPr>
        <w:t xml:space="preserve"> RILs </w:t>
      </w:r>
      <w:r>
        <w:rPr>
          <w:rFonts w:ascii="Times New Roman" w:hAnsi="Times New Roman" w:cs="Times New Roman"/>
          <w:sz w:val="24"/>
          <w:szCs w:val="24"/>
        </w:rPr>
        <w:t>represented by blue triangles</w:t>
      </w:r>
      <w:r w:rsidR="005E31D6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2524/</w:t>
      </w:r>
      <w:r w:rsidRPr="00474F1E">
        <w:rPr>
          <w:rFonts w:ascii="Times New Roman" w:hAnsi="Times New Roman" w:cs="Times New Roman"/>
          <w:i/>
          <w:iCs/>
          <w:sz w:val="24"/>
          <w:szCs w:val="24"/>
        </w:rPr>
        <w:t>Pg6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25FE">
        <w:rPr>
          <w:rFonts w:ascii="Times New Roman" w:hAnsi="Times New Roman" w:cs="Times New Roman"/>
          <w:sz w:val="24"/>
          <w:szCs w:val="24"/>
        </w:rPr>
        <w:t>F</w:t>
      </w:r>
      <w:r w:rsidR="009325FE" w:rsidRPr="009325FE">
        <w:rPr>
          <w:rFonts w:ascii="Times New Roman" w:hAnsi="Times New Roman" w:cs="Times New Roman"/>
          <w:sz w:val="24"/>
          <w:szCs w:val="24"/>
          <w:vertAlign w:val="subscript"/>
        </w:rPr>
        <w:t>2:3</w:t>
      </w:r>
      <w:r w:rsidR="009325FE">
        <w:rPr>
          <w:rFonts w:ascii="Times New Roman" w:hAnsi="Times New Roman" w:cs="Times New Roman"/>
          <w:sz w:val="24"/>
          <w:szCs w:val="24"/>
        </w:rPr>
        <w:t xml:space="preserve"> families </w:t>
      </w:r>
      <w:r>
        <w:rPr>
          <w:rFonts w:ascii="Times New Roman" w:hAnsi="Times New Roman" w:cs="Times New Roman"/>
          <w:sz w:val="24"/>
          <w:szCs w:val="24"/>
        </w:rPr>
        <w:t xml:space="preserve">represented with yellow </w:t>
      </w:r>
      <w:proofErr w:type="spellStart"/>
      <w:r>
        <w:rPr>
          <w:rFonts w:ascii="Times New Roman" w:hAnsi="Times New Roman" w:cs="Times New Roman"/>
          <w:sz w:val="24"/>
          <w:szCs w:val="24"/>
        </w:rPr>
        <w:t>x</w:t>
      </w:r>
      <w:r w:rsidR="009325FE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5E31D6">
        <w:rPr>
          <w:rFonts w:ascii="Times New Roman" w:hAnsi="Times New Roman" w:cs="Times New Roman"/>
          <w:sz w:val="24"/>
          <w:szCs w:val="24"/>
        </w:rPr>
        <w:t xml:space="preserve">; and the </w:t>
      </w:r>
      <w:r w:rsidRPr="009325FE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Pr="009325FE">
        <w:rPr>
          <w:rFonts w:ascii="Times New Roman" w:hAnsi="Times New Roman" w:cs="Times New Roman"/>
          <w:i/>
          <w:iCs/>
          <w:sz w:val="24"/>
          <w:szCs w:val="24"/>
        </w:rPr>
        <w:t>strigosa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E31D6">
        <w:rPr>
          <w:rFonts w:ascii="Times New Roman" w:hAnsi="Times New Roman" w:cs="Times New Roman"/>
          <w:sz w:val="24"/>
          <w:szCs w:val="24"/>
        </w:rPr>
        <w:t>panel</w:t>
      </w:r>
      <w:r>
        <w:rPr>
          <w:rFonts w:ascii="Times New Roman" w:hAnsi="Times New Roman" w:cs="Times New Roman"/>
          <w:sz w:val="24"/>
          <w:szCs w:val="24"/>
        </w:rPr>
        <w:t xml:space="preserve"> represented by purple squares</w:t>
      </w:r>
    </w:p>
    <w:sectPr w:rsidR="00BC4D64" w:rsidRPr="00474F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E9D"/>
    <w:rsid w:val="00035E9D"/>
    <w:rsid w:val="00187637"/>
    <w:rsid w:val="00234BCE"/>
    <w:rsid w:val="00474F1E"/>
    <w:rsid w:val="005E31D6"/>
    <w:rsid w:val="00932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D3F03"/>
  <w15:chartTrackingRefBased/>
  <w15:docId w15:val="{8E1CD9E3-5C4E-45D7-BA67-6163C790A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Tyler.Gordon\Documents\Tyler\Oat%20stem%20rust\Pg6\Pg6%20Manuscript\Final%20draft\Fig%20S1_Clustering%20pattern%20for%20predicive%20marke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864768407502917"/>
          <c:y val="6.3216974674880216E-2"/>
          <c:w val="0.81273567157303805"/>
          <c:h val="0.77871762949549173"/>
        </c:manualLayout>
      </c:layout>
      <c:scatterChart>
        <c:scatterStyle val="lineMarker"/>
        <c:varyColors val="0"/>
        <c:ser>
          <c:idx val="0"/>
          <c:order val="0"/>
          <c:tx>
            <c:strRef>
              <c:f>'Table 6'!$K$1</c:f>
              <c:strCache>
                <c:ptCount val="1"/>
                <c:pt idx="0">
                  <c:v>573582/Pg6 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accent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'Table 6'!$J$2:$J$16</c:f>
              <c:numCache>
                <c:formatCode>0.0</c:formatCode>
                <c:ptCount val="15"/>
                <c:pt idx="0">
                  <c:v>470.63286799999997</c:v>
                </c:pt>
                <c:pt idx="1">
                  <c:v>478.73326800000001</c:v>
                </c:pt>
                <c:pt idx="2">
                  <c:v>478.73370499999999</c:v>
                </c:pt>
                <c:pt idx="3">
                  <c:v>478.73617200000001</c:v>
                </c:pt>
                <c:pt idx="4">
                  <c:v>479.33514600000001</c:v>
                </c:pt>
                <c:pt idx="5">
                  <c:v>479.34501599999999</c:v>
                </c:pt>
                <c:pt idx="6">
                  <c:v>482.01848699999999</c:v>
                </c:pt>
                <c:pt idx="7">
                  <c:v>482.10096499999997</c:v>
                </c:pt>
                <c:pt idx="8">
                  <c:v>483.42714699999999</c:v>
                </c:pt>
                <c:pt idx="9">
                  <c:v>483.429191</c:v>
                </c:pt>
                <c:pt idx="10">
                  <c:v>483.43949700000002</c:v>
                </c:pt>
                <c:pt idx="11">
                  <c:v>483.45195999999999</c:v>
                </c:pt>
                <c:pt idx="12">
                  <c:v>483.50314400000002</c:v>
                </c:pt>
                <c:pt idx="13">
                  <c:v>485.68052399999999</c:v>
                </c:pt>
                <c:pt idx="14">
                  <c:v>491.081975</c:v>
                </c:pt>
              </c:numCache>
            </c:numRef>
          </c:xVal>
          <c:yVal>
            <c:numRef>
              <c:f>'Table 6'!$K$2:$K$16</c:f>
              <c:numCache>
                <c:formatCode>0.0</c:formatCode>
                <c:ptCount val="15"/>
                <c:pt idx="0">
                  <c:v>85.7</c:v>
                </c:pt>
                <c:pt idx="1">
                  <c:v>94.8</c:v>
                </c:pt>
                <c:pt idx="2">
                  <c:v>96.6</c:v>
                </c:pt>
                <c:pt idx="3">
                  <c:v>94.7</c:v>
                </c:pt>
                <c:pt idx="4">
                  <c:v>93.7</c:v>
                </c:pt>
                <c:pt idx="5">
                  <c:v>89</c:v>
                </c:pt>
                <c:pt idx="6">
                  <c:v>95.8</c:v>
                </c:pt>
                <c:pt idx="7">
                  <c:v>97.4</c:v>
                </c:pt>
                <c:pt idx="8">
                  <c:v>100</c:v>
                </c:pt>
                <c:pt idx="9">
                  <c:v>100</c:v>
                </c:pt>
                <c:pt idx="10">
                  <c:v>100</c:v>
                </c:pt>
                <c:pt idx="11">
                  <c:v>100</c:v>
                </c:pt>
                <c:pt idx="12">
                  <c:v>98.6</c:v>
                </c:pt>
                <c:pt idx="13">
                  <c:v>94.7</c:v>
                </c:pt>
                <c:pt idx="14">
                  <c:v>87.8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1B0-467F-8ACD-6A2D5DE09DAE}"/>
            </c:ext>
          </c:extLst>
        </c:ser>
        <c:ser>
          <c:idx val="1"/>
          <c:order val="1"/>
          <c:tx>
            <c:strRef>
              <c:f>'Table 6'!$L$1</c:f>
              <c:strCache>
                <c:ptCount val="1"/>
                <c:pt idx="0">
                  <c:v>2524/Pg6 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star"/>
            <c:size val="5"/>
            <c:spPr>
              <a:solidFill>
                <a:srgbClr val="FFFF00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'Table 6'!$J$2:$J$16</c:f>
              <c:numCache>
                <c:formatCode>0.0</c:formatCode>
                <c:ptCount val="15"/>
                <c:pt idx="0">
                  <c:v>470.63286799999997</c:v>
                </c:pt>
                <c:pt idx="1">
                  <c:v>478.73326800000001</c:v>
                </c:pt>
                <c:pt idx="2">
                  <c:v>478.73370499999999</c:v>
                </c:pt>
                <c:pt idx="3">
                  <c:v>478.73617200000001</c:v>
                </c:pt>
                <c:pt idx="4">
                  <c:v>479.33514600000001</c:v>
                </c:pt>
                <c:pt idx="5">
                  <c:v>479.34501599999999</c:v>
                </c:pt>
                <c:pt idx="6">
                  <c:v>482.01848699999999</c:v>
                </c:pt>
                <c:pt idx="7">
                  <c:v>482.10096499999997</c:v>
                </c:pt>
                <c:pt idx="8">
                  <c:v>483.42714699999999</c:v>
                </c:pt>
                <c:pt idx="9">
                  <c:v>483.429191</c:v>
                </c:pt>
                <c:pt idx="10">
                  <c:v>483.43949700000002</c:v>
                </c:pt>
                <c:pt idx="11">
                  <c:v>483.45195999999999</c:v>
                </c:pt>
                <c:pt idx="12">
                  <c:v>483.50314400000002</c:v>
                </c:pt>
                <c:pt idx="13">
                  <c:v>485.68052399999999</c:v>
                </c:pt>
                <c:pt idx="14">
                  <c:v>491.081975</c:v>
                </c:pt>
              </c:numCache>
            </c:numRef>
          </c:xVal>
          <c:yVal>
            <c:numRef>
              <c:f>'Table 6'!$L$2:$L$16</c:f>
              <c:numCache>
                <c:formatCode>0.0</c:formatCode>
                <c:ptCount val="15"/>
                <c:pt idx="0">
                  <c:v>91.8</c:v>
                </c:pt>
                <c:pt idx="1">
                  <c:v>89.9</c:v>
                </c:pt>
                <c:pt idx="2">
                  <c:v>92.6</c:v>
                </c:pt>
                <c:pt idx="3">
                  <c:v>93.6</c:v>
                </c:pt>
                <c:pt idx="8">
                  <c:v>97.7</c:v>
                </c:pt>
                <c:pt idx="9">
                  <c:v>96.4</c:v>
                </c:pt>
                <c:pt idx="10">
                  <c:v>100</c:v>
                </c:pt>
                <c:pt idx="11">
                  <c:v>95.1</c:v>
                </c:pt>
                <c:pt idx="14">
                  <c:v>94.4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B1B0-467F-8ACD-6A2D5DE09DAE}"/>
            </c:ext>
          </c:extLst>
        </c:ser>
        <c:ser>
          <c:idx val="2"/>
          <c:order val="2"/>
          <c:tx>
            <c:strRef>
              <c:f>'Table 6'!$M$1</c:f>
              <c:strCache>
                <c:ptCount val="1"/>
                <c:pt idx="0">
                  <c:v>A. strigosa diversity panel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square"/>
            <c:size val="6"/>
            <c:spPr>
              <a:solidFill>
                <a:srgbClr val="7030A0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'Table 6'!$J$2:$J$16</c:f>
              <c:numCache>
                <c:formatCode>0.0</c:formatCode>
                <c:ptCount val="15"/>
                <c:pt idx="0">
                  <c:v>470.63286799999997</c:v>
                </c:pt>
                <c:pt idx="1">
                  <c:v>478.73326800000001</c:v>
                </c:pt>
                <c:pt idx="2">
                  <c:v>478.73370499999999</c:v>
                </c:pt>
                <c:pt idx="3">
                  <c:v>478.73617200000001</c:v>
                </c:pt>
                <c:pt idx="4">
                  <c:v>479.33514600000001</c:v>
                </c:pt>
                <c:pt idx="5">
                  <c:v>479.34501599999999</c:v>
                </c:pt>
                <c:pt idx="6">
                  <c:v>482.01848699999999</c:v>
                </c:pt>
                <c:pt idx="7">
                  <c:v>482.10096499999997</c:v>
                </c:pt>
                <c:pt idx="8">
                  <c:v>483.42714699999999</c:v>
                </c:pt>
                <c:pt idx="9">
                  <c:v>483.429191</c:v>
                </c:pt>
                <c:pt idx="10">
                  <c:v>483.43949700000002</c:v>
                </c:pt>
                <c:pt idx="11">
                  <c:v>483.45195999999999</c:v>
                </c:pt>
                <c:pt idx="12">
                  <c:v>483.50314400000002</c:v>
                </c:pt>
                <c:pt idx="13">
                  <c:v>485.68052399999999</c:v>
                </c:pt>
                <c:pt idx="14">
                  <c:v>491.081975</c:v>
                </c:pt>
              </c:numCache>
            </c:numRef>
          </c:xVal>
          <c:yVal>
            <c:numRef>
              <c:f>'Table 6'!$M$2:$M$16</c:f>
              <c:numCache>
                <c:formatCode>0.0</c:formatCode>
                <c:ptCount val="15"/>
                <c:pt idx="0">
                  <c:v>81.102362204724415</c:v>
                </c:pt>
                <c:pt idx="1">
                  <c:v>86.614173228346459</c:v>
                </c:pt>
                <c:pt idx="2">
                  <c:v>85.039370078740149</c:v>
                </c:pt>
                <c:pt idx="3">
                  <c:v>88.188976377952756</c:v>
                </c:pt>
                <c:pt idx="8">
                  <c:v>96.062992125984252</c:v>
                </c:pt>
                <c:pt idx="9">
                  <c:v>93.7007874015748</c:v>
                </c:pt>
                <c:pt idx="10">
                  <c:v>100</c:v>
                </c:pt>
                <c:pt idx="11">
                  <c:v>93.7007874015748</c:v>
                </c:pt>
                <c:pt idx="14">
                  <c:v>82.677165354330711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B1B0-467F-8ACD-6A2D5DE09D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62715776"/>
        <c:axId val="350676520"/>
      </c:scatterChart>
      <c:valAx>
        <c:axId val="562715776"/>
        <c:scaling>
          <c:orientation val="minMax"/>
          <c:min val="47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SNP position on AA2 (Mbp)</a:t>
                </a:r>
              </a:p>
            </c:rich>
          </c:tx>
          <c:layout>
            <c:manualLayout>
              <c:xMode val="edge"/>
              <c:yMode val="edge"/>
              <c:x val="0.41601598050653726"/>
              <c:y val="0.8972754294544392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50676520"/>
        <c:crosses val="autoZero"/>
        <c:crossBetween val="midCat"/>
      </c:valAx>
      <c:valAx>
        <c:axId val="350676520"/>
        <c:scaling>
          <c:orientation val="minMax"/>
          <c:max val="105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Correct SNP allele assignement</a:t>
                </a:r>
                <a:r>
                  <a:rPr lang="en-US" sz="110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(%) based on </a:t>
                </a:r>
                <a:r>
                  <a:rPr lang="en-US" sz="1100" i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Pg6</a:t>
                </a:r>
                <a:r>
                  <a:rPr lang="en-US" sz="110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phenotypes</a:t>
                </a:r>
                <a:endParaRPr lang="en-US" sz="11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62715776"/>
        <c:crosses val="autoZero"/>
        <c:crossBetween val="midCat"/>
      </c:valAx>
      <c:spPr>
        <a:noFill/>
        <a:ln>
          <a:solidFill>
            <a:schemeClr val="tx1"/>
          </a:solidFill>
        </a:ln>
        <a:effectLst/>
      </c:spPr>
    </c:plotArea>
    <c:legend>
      <c:legendPos val="b"/>
      <c:layout>
        <c:manualLayout>
          <c:xMode val="edge"/>
          <c:yMode val="edge"/>
          <c:x val="0.17582431775033039"/>
          <c:y val="0.48205953595379369"/>
          <c:w val="0.54265805073983031"/>
          <c:h val="0.12012350075754372"/>
        </c:manualLayout>
      </c:layout>
      <c:overlay val="0"/>
      <c:spPr>
        <a:noFill/>
        <a:ln>
          <a:solidFill>
            <a:schemeClr val="tx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Gordon, Tyler</dc:creator>
  <cp:keywords/>
  <dc:description/>
  <cp:lastModifiedBy>Gordon, Tyler</cp:lastModifiedBy>
  <cp:revision>3</cp:revision>
  <dcterms:created xsi:type="dcterms:W3CDTF">2021-10-07T17:11:00Z</dcterms:created>
  <dcterms:modified xsi:type="dcterms:W3CDTF">2021-10-07T17:31:00Z</dcterms:modified>
</cp:coreProperties>
</file>