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Times New Roman" w:hAnsi="Times New Roman" w:eastAsia="DengXian" w:cs="Times New Roman"/>
          <w:sz w:val="32"/>
          <w:szCs w:val="32"/>
          <w:lang w:bidi="ar"/>
        </w:rPr>
      </w:pPr>
      <w:r>
        <w:rPr>
          <w:rFonts w:ascii="Times New Roman" w:hAnsi="Times New Roman" w:eastAsia="DengXian" w:cs="Times New Roman"/>
          <w:sz w:val="32"/>
          <w:szCs w:val="32"/>
          <w:lang w:bidi="ar"/>
        </w:rPr>
        <w:t>Supplementary Figures and Tables</w:t>
      </w:r>
    </w:p>
    <w:p>
      <w:pPr>
        <w:widowControl/>
        <w:rPr>
          <w:rFonts w:ascii="Times New Roman" w:hAnsi="Times New Roman" w:eastAsia="DengXian" w:cs="Times New Roman"/>
          <w:sz w:val="24"/>
          <w:lang w:bidi="ar"/>
        </w:rPr>
      </w:pPr>
      <w:r>
        <w:rPr>
          <w:rFonts w:ascii="Times New Roman" w:hAnsi="Times New Roman" w:eastAsia="DengXian" w:cs="Times New Roman"/>
          <w:sz w:val="24"/>
          <w:lang w:bidi="ar"/>
        </w:rPr>
        <w:drawing>
          <wp:inline distT="0" distB="0" distL="0" distR="0">
            <wp:extent cx="6184900" cy="804037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84900" cy="8040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eastAsia="DengXian" w:cs="Times New Roman"/>
          <w:szCs w:val="21"/>
          <w:lang w:bidi="ar"/>
        </w:rPr>
        <w:t>Fig. S1 Rhizosphere soil properties and fine root traits after organic mulching.</w:t>
      </w:r>
      <w:r>
        <w:rPr>
          <w:rFonts w:ascii="Times New Roman" w:hAnsi="Times New Roman" w:cs="Times New Roman"/>
          <w:szCs w:val="21"/>
        </w:rPr>
        <w:t xml:space="preserve"> Values are means ± the standard error (n = 5).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/>
          <w:szCs w:val="21"/>
          <w:lang w:bidi="ar"/>
        </w:rPr>
        <w:t xml:space="preserve">SOC: soil organic carbon; DOC: dissolved organic carbon; MBC: microbial biomass carbon; </w:t>
      </w:r>
      <w:r>
        <w:rPr>
          <w:rFonts w:hint="eastAsia" w:ascii="Times New Roman" w:hAnsi="Times New Roman" w:cs="Times New Roman"/>
          <w:szCs w:val="21"/>
        </w:rPr>
        <w:t>TN: total nitrogen;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</w:rPr>
        <w:t>MBN</w:t>
      </w:r>
      <w:r>
        <w:rPr>
          <w:rFonts w:ascii="Times New Roman" w:hAnsi="Times New Roman" w:cs="Times New Roman"/>
          <w:szCs w:val="21"/>
        </w:rPr>
        <w:t>:</w:t>
      </w:r>
      <w:r>
        <w:rPr>
          <w:rFonts w:hint="eastAsia" w:ascii="Times New Roman" w:hAnsi="Times New Roman" w:cs="Times New Roman"/>
          <w:szCs w:val="21"/>
        </w:rPr>
        <w:t xml:space="preserve"> microbial biomass nitrogen</w:t>
      </w:r>
      <w:r>
        <w:rPr>
          <w:rFonts w:ascii="Times New Roman" w:hAnsi="Times New Roman" w:cs="Times New Roman"/>
          <w:szCs w:val="21"/>
        </w:rPr>
        <w:t>; TP: total phosphorus;</w:t>
      </w:r>
      <w:r>
        <w:rPr>
          <w:rFonts w:hint="eastAsia"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IA: invertase activity; UA: urease activity; PA: peroxidase activity; DA: dehydrogenase activity; SRL: specific root length; SSA: specific surface area; RTD: root tissue density; FRB: fine root biomass; FRC: fine root carbon concentration; FRN: fine root </w:t>
      </w:r>
      <w:r>
        <w:rPr>
          <w:rFonts w:hint="eastAsia" w:ascii="Times New Roman" w:hAnsi="Times New Roman" w:cs="Times New Roman"/>
          <w:szCs w:val="21"/>
        </w:rPr>
        <w:t>nitrogen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</w:rPr>
        <w:t>concentration</w:t>
      </w:r>
      <w:r>
        <w:rPr>
          <w:rFonts w:ascii="Times New Roman" w:hAnsi="Times New Roman" w:cs="Times New Roman"/>
          <w:szCs w:val="21"/>
        </w:rPr>
        <w:t xml:space="preserve">; FRP: fine root phosphorus </w:t>
      </w:r>
      <w:r>
        <w:rPr>
          <w:rFonts w:hint="eastAsia" w:ascii="Times New Roman" w:hAnsi="Times New Roman" w:cs="Times New Roman"/>
          <w:szCs w:val="21"/>
        </w:rPr>
        <w:t>concentration</w:t>
      </w:r>
      <w:r>
        <w:rPr>
          <w:rFonts w:ascii="Times New Roman" w:hAnsi="Times New Roman" w:cs="Times New Roman"/>
          <w:szCs w:val="21"/>
        </w:rPr>
        <w:t xml:space="preserve">; </w:t>
      </w:r>
      <w:r>
        <w:rPr>
          <w:rFonts w:hint="eastAsia" w:ascii="Times New Roman" w:hAnsi="Times New Roman" w:cs="Times New Roman"/>
          <w:szCs w:val="21"/>
        </w:rPr>
        <w:t>OM0: no mulch; OM5: 5 cm mulch; OM10: 10 cm mulch; OM20: 20 cm mulch.</w:t>
      </w:r>
    </w:p>
    <w:p>
      <w:pPr>
        <w:jc w:val="center"/>
      </w:pPr>
      <w:r>
        <w:drawing>
          <wp:inline distT="0" distB="0" distL="0" distR="0">
            <wp:extent cx="5270500" cy="287464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74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0500" cy="287464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74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Fig. </w:t>
      </w:r>
      <w:r>
        <w:rPr>
          <w:rFonts w:hint="eastAsia" w:ascii="Times New Roman" w:hAnsi="Times New Roman" w:cs="Times New Roman"/>
        </w:rPr>
        <w:t>S2</w:t>
      </w:r>
      <w:r>
        <w:rPr>
          <w:rFonts w:ascii="Times New Roman" w:hAnsi="Times New Roman" w:cs="Times New Roman"/>
        </w:rPr>
        <w:t xml:space="preserve"> Relative abundance of rhizosphere bacterial community on Phylum level. The classifications with less than 0.01 abundance are gathered into the category “others”. a: topsoil, b: subsoil.</w:t>
      </w:r>
    </w:p>
    <w:p>
      <w:pPr>
        <w:jc w:val="center"/>
      </w:pPr>
      <w:r>
        <w:drawing>
          <wp:inline distT="0" distB="0" distL="0" distR="0">
            <wp:extent cx="5270500" cy="287464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74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5270500" cy="287464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74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Fig. </w:t>
      </w:r>
      <w:r>
        <w:rPr>
          <w:rFonts w:hint="eastAsia" w:ascii="Times New Roman" w:hAnsi="Times New Roman" w:cs="Times New Roman"/>
        </w:rPr>
        <w:t>S3</w:t>
      </w:r>
      <w:r>
        <w:rPr>
          <w:rFonts w:ascii="Times New Roman" w:hAnsi="Times New Roman" w:cs="Times New Roman"/>
        </w:rPr>
        <w:t xml:space="preserve"> Relative abundance of rhizosphere fungal community on Phylum level. The classifications with less than 0.01 abundance are gathered into the category “others”. a: topsoil, b: subsoil.</w:t>
      </w:r>
    </w:p>
    <w:p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3050540" cy="254254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05085" cy="2587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3060065" cy="2550160"/>
            <wp:effectExtent l="0" t="0" r="635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07946" cy="2590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3051810" cy="254317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86890" cy="25725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Cs w:val="21"/>
        </w:rPr>
        <w:drawing>
          <wp:inline distT="0" distB="0" distL="0" distR="0">
            <wp:extent cx="3060065" cy="2550160"/>
            <wp:effectExtent l="0" t="0" r="635" b="254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74138" cy="2561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Fig. </w:t>
      </w:r>
      <w:r>
        <w:rPr>
          <w:rFonts w:hint="eastAsia"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4 </w:t>
      </w:r>
      <w:r>
        <w:rPr>
          <w:rFonts w:hint="eastAsia" w:ascii="Times New Roman" w:hAnsi="Times New Roman" w:cs="Times New Roman"/>
        </w:rPr>
        <w:t>Principal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</w:rPr>
        <w:t>components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</w:rPr>
        <w:t>analysis</w:t>
      </w:r>
      <w:r>
        <w:rPr>
          <w:rFonts w:ascii="Times New Roman" w:hAnsi="Times New Roman" w:cs="Times New Roman"/>
        </w:rPr>
        <w:t xml:space="preserve"> (</w:t>
      </w:r>
      <w:r>
        <w:rPr>
          <w:rFonts w:hint="eastAsia" w:ascii="Times New Roman" w:hAnsi="Times New Roman" w:cs="Times New Roman"/>
        </w:rPr>
        <w:t>PCoA</w:t>
      </w:r>
      <w:r>
        <w:rPr>
          <w:rFonts w:ascii="Times New Roman" w:hAnsi="Times New Roman" w:cs="Times New Roman"/>
        </w:rPr>
        <w:t>) of rhizosphere bacterial and fungal community on OTU level under different organic mulching. a: topsoil, b: subsoil.</w:t>
      </w:r>
    </w:p>
    <w:p>
      <w:pPr>
        <w:widowControl/>
        <w:jc w:val="left"/>
        <w:rPr>
          <w:rFonts w:ascii="Times New Roman" w:hAnsi="Times New Roman" w:cs="Times New Roman"/>
          <w:szCs w:val="21"/>
        </w:rPr>
      </w:pPr>
    </w:p>
    <w:p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>
      <w:pPr>
        <w:jc w:val="center"/>
        <w:rPr>
          <w:rFonts w:hint="eastAsia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Table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</w:rPr>
        <w:t>S</w:t>
      </w:r>
      <w:r>
        <w:rPr>
          <w:rFonts w:ascii="Times New Roman" w:hAnsi="Times New Roman" w:cs="Times New Roman"/>
          <w:szCs w:val="21"/>
        </w:rPr>
        <w:t>1 Non-metric multidimensional scaling (NMDS) of rhizosphere microbial community composition and its influencing factors</w:t>
      </w:r>
    </w:p>
    <w:tbl>
      <w:tblPr>
        <w:tblStyle w:val="5"/>
        <w:tblW w:w="9639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1"/>
        <w:gridCol w:w="1073"/>
        <w:gridCol w:w="1073"/>
        <w:gridCol w:w="1073"/>
        <w:gridCol w:w="1073"/>
        <w:gridCol w:w="2"/>
        <w:gridCol w:w="1071"/>
        <w:gridCol w:w="1073"/>
        <w:gridCol w:w="1073"/>
        <w:gridCol w:w="1077"/>
      </w:tblGrid>
      <w:tr>
        <w:trPr>
          <w:trHeight w:val="285" w:hRule="atLeast"/>
        </w:trPr>
        <w:tc>
          <w:tcPr>
            <w:tcW w:w="1051" w:type="dxa"/>
            <w:tcBorders>
              <w:top w:val="single" w:color="000000" w:sz="12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Cs w:val="21"/>
              </w:rPr>
            </w:pPr>
          </w:p>
        </w:tc>
        <w:tc>
          <w:tcPr>
            <w:tcW w:w="4294" w:type="dxa"/>
            <w:gridSpan w:val="5"/>
            <w:tcBorders>
              <w:top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 months after organic mulching</w:t>
            </w:r>
          </w:p>
        </w:tc>
        <w:tc>
          <w:tcPr>
            <w:tcW w:w="4294" w:type="dxa"/>
            <w:gridSpan w:val="4"/>
            <w:tcBorders>
              <w:top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12 months after organic mulching</w:t>
            </w:r>
          </w:p>
        </w:tc>
      </w:tr>
      <w:tr>
        <w:trPr>
          <w:trHeight w:val="270" w:hRule="atLeast"/>
        </w:trPr>
        <w:tc>
          <w:tcPr>
            <w:tcW w:w="1051" w:type="dxa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Bacteria</w:t>
            </w:r>
          </w:p>
        </w:tc>
        <w:tc>
          <w:tcPr>
            <w:tcW w:w="1073" w:type="dxa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NMDS1</w:t>
            </w:r>
          </w:p>
        </w:tc>
        <w:tc>
          <w:tcPr>
            <w:tcW w:w="1073" w:type="dxa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NMDS2</w:t>
            </w:r>
          </w:p>
        </w:tc>
        <w:tc>
          <w:tcPr>
            <w:tcW w:w="1073" w:type="dxa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r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073" w:type="dxa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 Italic" w:hAnsi="Times New Roman Italic" w:eastAsia="宋体" w:cs="Times New Roman Italic"/>
                <w:i/>
                <w:iCs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r(&gt;r)</w:t>
            </w:r>
          </w:p>
        </w:tc>
        <w:tc>
          <w:tcPr>
            <w:tcW w:w="1073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NMDS1</w:t>
            </w:r>
          </w:p>
        </w:tc>
        <w:tc>
          <w:tcPr>
            <w:tcW w:w="1073" w:type="dxa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NMDS2</w:t>
            </w:r>
          </w:p>
        </w:tc>
        <w:tc>
          <w:tcPr>
            <w:tcW w:w="1073" w:type="dxa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r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077" w:type="dxa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 Italic" w:hAnsi="Times New Roman Italic" w:eastAsia="宋体" w:cs="Times New Roman Italic"/>
                <w:i/>
                <w:iCs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r(&gt;r)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-0.65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0.76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0.10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0.31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-0.07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1.00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0.01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0.88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0.67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0.74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0.23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0.08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-0.17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-0.98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0.20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0.11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0.68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0.73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0.07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0.42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1.00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0.05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0.99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DOC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0.66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0.75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0.08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0.42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0.62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-0.78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0.22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0.06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MBC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-0.10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0.99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0.06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0.47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0.98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-0.18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0.07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0.46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TN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0.18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0.98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0.12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0.28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0.86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0.51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0.04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0.63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AN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0.81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-0.58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0.04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0.68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0.11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-0.99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0.01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0.95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NN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0.87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0.48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0.01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0.89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0.36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0.93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0.02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0.79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MBN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0.21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0.98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0.03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0.73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0.83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0.57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0.08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0.43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TP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-0.81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0.58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0.17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0.15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-0.61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-0.79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0.04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0.66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IA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0.14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-0.99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0.14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0.21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-0.40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0.92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0.05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0.57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UA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0.74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-0.67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0.15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0.18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0.49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-0.87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0.04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0.60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PA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-0.26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0.96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0.05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0.57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0.10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-1.00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0.06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0.50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DA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0.58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-0.82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0.05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0.56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0.32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0.95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0.15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0.18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SRL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-0.83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0.55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0.99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0.90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-0.43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0.23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0.06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SSA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-0.65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-0.76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0.01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0.89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1.00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0.01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0.07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0.40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RTD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0.14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0.99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0.10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0.32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-0.52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0.85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0.11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0.32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FRB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-0.15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0.99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0.06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0.53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-0.09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1.00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0.04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0.67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FRC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-0.76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0.65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0.02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0.83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-0.48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0.88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0.05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0.58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FRN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0.54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0.84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0.09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0.39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0.69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-0.72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0.16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0.14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FRP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 xml:space="preserve">0.21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 xml:space="preserve">0.98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 xml:space="preserve">0.33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0.02*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0.16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-0.99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0.04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0.63 </w:t>
            </w:r>
          </w:p>
        </w:tc>
      </w:tr>
      <w:tr>
        <w:trPr>
          <w:trHeight w:val="270" w:hRule="atLeast"/>
        </w:trPr>
        <w:tc>
          <w:tcPr>
            <w:tcW w:w="1051" w:type="dxa"/>
            <w:tcBorders>
              <w:top w:val="dotted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Fungi</w:t>
            </w:r>
          </w:p>
        </w:tc>
        <w:tc>
          <w:tcPr>
            <w:tcW w:w="1073" w:type="dxa"/>
            <w:tcBorders>
              <w:top w:val="dotted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NMDS1</w:t>
            </w:r>
          </w:p>
        </w:tc>
        <w:tc>
          <w:tcPr>
            <w:tcW w:w="1073" w:type="dxa"/>
            <w:tcBorders>
              <w:top w:val="dotted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NMDS2</w:t>
            </w:r>
          </w:p>
        </w:tc>
        <w:tc>
          <w:tcPr>
            <w:tcW w:w="1073" w:type="dxa"/>
            <w:tcBorders>
              <w:top w:val="dotted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r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073" w:type="dxa"/>
            <w:tcBorders>
              <w:top w:val="dotted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 Italic" w:hAnsi="Times New Roman Italic" w:eastAsia="宋体" w:cs="Times New Roman Italic"/>
                <w:i/>
                <w:iCs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r(&gt;r)</w:t>
            </w:r>
          </w:p>
        </w:tc>
        <w:tc>
          <w:tcPr>
            <w:tcW w:w="1073" w:type="dxa"/>
            <w:gridSpan w:val="2"/>
            <w:tcBorders>
              <w:top w:val="dotted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NMDS1</w:t>
            </w:r>
          </w:p>
        </w:tc>
        <w:tc>
          <w:tcPr>
            <w:tcW w:w="1073" w:type="dxa"/>
            <w:tcBorders>
              <w:top w:val="dotted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NMDS2</w:t>
            </w:r>
          </w:p>
        </w:tc>
        <w:tc>
          <w:tcPr>
            <w:tcW w:w="1073" w:type="dxa"/>
            <w:tcBorders>
              <w:top w:val="dotted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r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077" w:type="dxa"/>
            <w:tcBorders>
              <w:top w:val="dotted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 Italic" w:hAnsi="Times New Roman Italic" w:eastAsia="宋体" w:cs="Times New Roman Italic"/>
                <w:i/>
                <w:iCs/>
                <w:color w:val="000000"/>
                <w:kern w:val="0"/>
                <w:szCs w:val="21"/>
              </w:rPr>
              <w:t>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r(&gt;r)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W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0.03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1.00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0.19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0.12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0.26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0.96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0.10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0.31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pH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0.23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-0.97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0.02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0.82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-0.62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-0.78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0.15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0.18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-1.00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-0.01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0.07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0.51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-0.98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-0.22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0.01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0.92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DOC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0.23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0.97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0.20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0.09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0.81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-0.59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0.02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0.85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MBC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0.22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0.98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0.15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0.19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-0.06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-1.00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0.07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0.50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TN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-0.31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0.95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0.13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0.22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0.98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0.21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0.05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0.57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AN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-0.25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0.97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0.17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0.16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-0.86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-0.51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0.07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0.48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NN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-0.10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0.99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0.18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0.14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-0.93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-0.36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0.97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MBN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0.26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0.97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0.08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0.40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0.97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0.24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0.08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0.43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TP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0.68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-0.73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0.09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0.35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-0.94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0.34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0.05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0.58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IA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-0.52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0.85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0.07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0.48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0.72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-0.70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0.99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UA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 xml:space="preserve">-0.92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 xml:space="preserve">-0.39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 xml:space="preserve">0.33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0.02*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-0.38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-0.92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0.95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PA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0.45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-0.89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0.18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0.13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-0.78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-0.63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0.19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0.11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DA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 xml:space="preserve">-0.79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 xml:space="preserve">0.61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 xml:space="preserve">0.30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0.04*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0.92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0.39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0.95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SRL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 xml:space="preserve">-0.75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 xml:space="preserve">0.67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 xml:space="preserve">0.26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0.04*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0.89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-0.46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0.08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0.42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SSA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-0.90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0.43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0.19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0.11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0.95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0.32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0.08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0.39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RTD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0.59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0.81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0.00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1.00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-0.73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0.68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0.02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0.81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FRB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0.40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0.92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0.22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0.08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0.28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0.96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0.01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0.88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FRC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0.72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-0.69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0.19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0.13 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-0.36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0.93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0.02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0.77 </w:t>
            </w:r>
          </w:p>
        </w:tc>
      </w:tr>
      <w:tr>
        <w:trPr>
          <w:trHeight w:val="285" w:hRule="atLeast"/>
        </w:trPr>
        <w:tc>
          <w:tcPr>
            <w:tcW w:w="105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FRN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 xml:space="preserve">-0.13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 xml:space="preserve">0.99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 xml:space="preserve">0.28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  <w:t>0.03*</w:t>
            </w:r>
          </w:p>
        </w:tc>
        <w:tc>
          <w:tcPr>
            <w:tcW w:w="1073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-0.09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-1.00 </w:t>
            </w:r>
          </w:p>
        </w:tc>
        <w:tc>
          <w:tcPr>
            <w:tcW w:w="1073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0.04 </w:t>
            </w:r>
          </w:p>
        </w:tc>
        <w:tc>
          <w:tcPr>
            <w:tcW w:w="1077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0.64 </w:t>
            </w:r>
          </w:p>
        </w:tc>
      </w:tr>
      <w:tr>
        <w:trPr>
          <w:trHeight w:val="285" w:hRule="atLeast"/>
        </w:trPr>
        <w:tc>
          <w:tcPr>
            <w:tcW w:w="1051" w:type="dxa"/>
            <w:tcBorders>
              <w:bottom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FRP</w:t>
            </w:r>
          </w:p>
        </w:tc>
        <w:tc>
          <w:tcPr>
            <w:tcW w:w="1073" w:type="dxa"/>
            <w:tcBorders>
              <w:bottom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0.97 </w:t>
            </w:r>
          </w:p>
        </w:tc>
        <w:tc>
          <w:tcPr>
            <w:tcW w:w="1073" w:type="dxa"/>
            <w:tcBorders>
              <w:bottom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0.24 </w:t>
            </w:r>
          </w:p>
        </w:tc>
        <w:tc>
          <w:tcPr>
            <w:tcW w:w="1073" w:type="dxa"/>
            <w:tcBorders>
              <w:bottom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0.11 </w:t>
            </w:r>
          </w:p>
        </w:tc>
        <w:tc>
          <w:tcPr>
            <w:tcW w:w="1073" w:type="dxa"/>
            <w:tcBorders>
              <w:bottom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0.32 </w:t>
            </w:r>
          </w:p>
        </w:tc>
        <w:tc>
          <w:tcPr>
            <w:tcW w:w="1073" w:type="dxa"/>
            <w:gridSpan w:val="2"/>
            <w:tcBorders>
              <w:bottom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-0.80 </w:t>
            </w:r>
          </w:p>
        </w:tc>
        <w:tc>
          <w:tcPr>
            <w:tcW w:w="1073" w:type="dxa"/>
            <w:tcBorders>
              <w:bottom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-0.59 </w:t>
            </w:r>
          </w:p>
        </w:tc>
        <w:tc>
          <w:tcPr>
            <w:tcW w:w="1073" w:type="dxa"/>
            <w:tcBorders>
              <w:bottom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0.05 </w:t>
            </w:r>
          </w:p>
        </w:tc>
        <w:tc>
          <w:tcPr>
            <w:tcW w:w="1077" w:type="dxa"/>
            <w:tcBorders>
              <w:bottom w:val="single" w:color="000000" w:sz="12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 xml:space="preserve">0.59 </w:t>
            </w:r>
          </w:p>
        </w:tc>
      </w:tr>
    </w:tbl>
    <w:p>
      <w:pPr>
        <w:widowControl/>
        <w:rPr>
          <w:rFonts w:ascii="Times New Roman" w:hAnsi="Times New Roman" w:eastAsia="DengXian" w:cs="Times New Roman"/>
          <w:sz w:val="24"/>
          <w:lang w:bidi="ar"/>
        </w:rPr>
      </w:pPr>
      <w:r>
        <w:rPr>
          <w:rFonts w:hint="eastAsia" w:ascii="Times New Roman" w:hAnsi="Times New Roman" w:cs="Times New Roman"/>
          <w:sz w:val="18"/>
          <w:szCs w:val="18"/>
        </w:rPr>
        <w:t xml:space="preserve">Note: </w:t>
      </w:r>
      <w:r>
        <w:rPr>
          <w:rFonts w:ascii="Times New Roman" w:hAnsi="Times New Roman"/>
          <w:b/>
          <w:bCs/>
          <w:sz w:val="18"/>
          <w:szCs w:val="18"/>
          <w:lang w:val="en-GB"/>
        </w:rPr>
        <w:t>*</w:t>
      </w:r>
      <w:r>
        <w:rPr>
          <w:rFonts w:ascii="Times New Roman" w:hAnsi="Times New Roman"/>
          <w:sz w:val="18"/>
          <w:szCs w:val="18"/>
          <w:lang w:val="en-GB"/>
        </w:rPr>
        <w:t xml:space="preserve"> </w:t>
      </w:r>
      <w:r>
        <w:rPr>
          <w:rFonts w:ascii="Times New Roman" w:hAnsi="Times New Roman"/>
          <w:i/>
          <w:iCs/>
          <w:sz w:val="18"/>
          <w:szCs w:val="18"/>
          <w:lang w:val="en-GB"/>
        </w:rPr>
        <w:t xml:space="preserve">P </w:t>
      </w:r>
      <w:r>
        <w:rPr>
          <w:rFonts w:ascii="Times New Roman" w:hAnsi="Times New Roman"/>
          <w:sz w:val="18"/>
          <w:szCs w:val="18"/>
          <w:lang w:val="en-GB"/>
        </w:rPr>
        <w:t>&lt; 0.05</w:t>
      </w:r>
      <w:r>
        <w:rPr>
          <w:rFonts w:ascii="Times New Roman" w:hAnsi="Times New Roman"/>
          <w:sz w:val="18"/>
          <w:szCs w:val="18"/>
        </w:rPr>
        <w:t xml:space="preserve">. </w:t>
      </w:r>
      <w:r>
        <w:rPr>
          <w:rFonts w:ascii="Times New Roman" w:hAnsi="Times New Roman" w:cs="Times New Roman"/>
          <w:sz w:val="18"/>
          <w:szCs w:val="18"/>
        </w:rPr>
        <w:t>T: temperature; W: water content; SOC: soil organic carbon; DOC: dissolved organic carbon; MBC: microbial biomass carbon; TN: total nitrogen; AN: ammonium; NN: nitrate; MBN: microbial biomass nitrogen; TP: total phosphorus; IA: invertase activity; UA: urease activity; PA: peroxidase activity; DA: dehydrogenase activity; SRL: specific root length; SSA: specific surface area; RTD: root tissue density; FRB: fine root biomass; FRC: fine root carbon concentration; FRN: fine root nitrogen concentration; FRP: fine root phosphorus concentration.</w:t>
      </w:r>
    </w:p>
    <w:sectPr>
      <w:pgSz w:w="11900" w:h="16840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Times New Roman Italic">
    <w:panose1 w:val="02020503050405090304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5909"/>
    <w:rsid w:val="0000144F"/>
    <w:rsid w:val="0001750F"/>
    <w:rsid w:val="0007036A"/>
    <w:rsid w:val="000765BA"/>
    <w:rsid w:val="00096C0C"/>
    <w:rsid w:val="000B73CC"/>
    <w:rsid w:val="000E0129"/>
    <w:rsid w:val="00132DC7"/>
    <w:rsid w:val="001370AC"/>
    <w:rsid w:val="00152D4B"/>
    <w:rsid w:val="00156053"/>
    <w:rsid w:val="001C6A13"/>
    <w:rsid w:val="001D299C"/>
    <w:rsid w:val="0021425F"/>
    <w:rsid w:val="00222F1E"/>
    <w:rsid w:val="002237E3"/>
    <w:rsid w:val="00232EF4"/>
    <w:rsid w:val="002369D4"/>
    <w:rsid w:val="002838C0"/>
    <w:rsid w:val="002B0CDE"/>
    <w:rsid w:val="002C4868"/>
    <w:rsid w:val="002D68C0"/>
    <w:rsid w:val="002E241E"/>
    <w:rsid w:val="002F001B"/>
    <w:rsid w:val="00323508"/>
    <w:rsid w:val="00327E8B"/>
    <w:rsid w:val="00374FFD"/>
    <w:rsid w:val="003A126C"/>
    <w:rsid w:val="003C0872"/>
    <w:rsid w:val="003D1273"/>
    <w:rsid w:val="003F5909"/>
    <w:rsid w:val="00405E59"/>
    <w:rsid w:val="00410A1F"/>
    <w:rsid w:val="0041646E"/>
    <w:rsid w:val="004432FA"/>
    <w:rsid w:val="00496EB5"/>
    <w:rsid w:val="004E023E"/>
    <w:rsid w:val="005222A3"/>
    <w:rsid w:val="00555A91"/>
    <w:rsid w:val="00570407"/>
    <w:rsid w:val="00582272"/>
    <w:rsid w:val="005A767C"/>
    <w:rsid w:val="005B34EF"/>
    <w:rsid w:val="0063455C"/>
    <w:rsid w:val="00645272"/>
    <w:rsid w:val="00645939"/>
    <w:rsid w:val="006E0578"/>
    <w:rsid w:val="007A66C4"/>
    <w:rsid w:val="007C032A"/>
    <w:rsid w:val="007D49C7"/>
    <w:rsid w:val="007E1C8D"/>
    <w:rsid w:val="007F5ED0"/>
    <w:rsid w:val="00804E8A"/>
    <w:rsid w:val="00817D7C"/>
    <w:rsid w:val="00877CC6"/>
    <w:rsid w:val="008F0452"/>
    <w:rsid w:val="0091242C"/>
    <w:rsid w:val="0093772B"/>
    <w:rsid w:val="009471EF"/>
    <w:rsid w:val="009B4EA4"/>
    <w:rsid w:val="009D4BD8"/>
    <w:rsid w:val="00A05C17"/>
    <w:rsid w:val="00A1538E"/>
    <w:rsid w:val="00A610B9"/>
    <w:rsid w:val="00A7634C"/>
    <w:rsid w:val="00A77FEF"/>
    <w:rsid w:val="00B3322C"/>
    <w:rsid w:val="00B44ABA"/>
    <w:rsid w:val="00B63924"/>
    <w:rsid w:val="00B777BB"/>
    <w:rsid w:val="00BB629E"/>
    <w:rsid w:val="00BE4CDF"/>
    <w:rsid w:val="00C11589"/>
    <w:rsid w:val="00C1576E"/>
    <w:rsid w:val="00C4682C"/>
    <w:rsid w:val="00C67ED7"/>
    <w:rsid w:val="00C90A89"/>
    <w:rsid w:val="00CB6C0E"/>
    <w:rsid w:val="00CD541E"/>
    <w:rsid w:val="00D33316"/>
    <w:rsid w:val="00D40DA1"/>
    <w:rsid w:val="00D703E4"/>
    <w:rsid w:val="00D94F7E"/>
    <w:rsid w:val="00DA304A"/>
    <w:rsid w:val="00E04B3F"/>
    <w:rsid w:val="00E06320"/>
    <w:rsid w:val="00E30514"/>
    <w:rsid w:val="00E60142"/>
    <w:rsid w:val="00E650C3"/>
    <w:rsid w:val="00E719BE"/>
    <w:rsid w:val="00E74483"/>
    <w:rsid w:val="00F0215D"/>
    <w:rsid w:val="00F11AF0"/>
    <w:rsid w:val="00F762D7"/>
    <w:rsid w:val="00F76B61"/>
    <w:rsid w:val="00F8144C"/>
    <w:rsid w:val="00FB0B7D"/>
    <w:rsid w:val="00FD6941"/>
    <w:rsid w:val="00FE2DDC"/>
    <w:rsid w:val="166FBFE0"/>
    <w:rsid w:val="3ECF775B"/>
    <w:rsid w:val="43E935F0"/>
    <w:rsid w:val="46F605AF"/>
    <w:rsid w:val="4CFF5263"/>
    <w:rsid w:val="5B6F4784"/>
    <w:rsid w:val="5D7D9D6C"/>
    <w:rsid w:val="6349C849"/>
    <w:rsid w:val="73F671A6"/>
    <w:rsid w:val="74EF2E8D"/>
    <w:rsid w:val="77F13907"/>
    <w:rsid w:val="787D4810"/>
    <w:rsid w:val="7B7F74D1"/>
    <w:rsid w:val="7DFF4386"/>
    <w:rsid w:val="7E5F2421"/>
    <w:rsid w:val="7E7B63DD"/>
    <w:rsid w:val="7FBFDB2C"/>
    <w:rsid w:val="7FFDCF2A"/>
    <w:rsid w:val="8FB224EE"/>
    <w:rsid w:val="BC779F1B"/>
    <w:rsid w:val="BD33064D"/>
    <w:rsid w:val="BEFBDF46"/>
    <w:rsid w:val="CE9BCCEB"/>
    <w:rsid w:val="D5EFF1FE"/>
    <w:rsid w:val="D77FEC4C"/>
    <w:rsid w:val="DDB7271F"/>
    <w:rsid w:val="E3FD677E"/>
    <w:rsid w:val="ECFF6725"/>
    <w:rsid w:val="EF3FA121"/>
    <w:rsid w:val="F3FC55FD"/>
    <w:rsid w:val="F6FF0C80"/>
    <w:rsid w:val="FAEA61E3"/>
    <w:rsid w:val="FD2FA75C"/>
    <w:rsid w:val="FFF5E90F"/>
    <w:rsid w:val="FFF86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qFormat/>
    <w:uiPriority w:val="99"/>
    <w:rPr>
      <w:sz w:val="18"/>
      <w:szCs w:val="18"/>
    </w:rPr>
  </w:style>
  <w:style w:type="character" w:customStyle="1" w:styleId="8">
    <w:name w:val="font01"/>
    <w:basedOn w:val="4"/>
    <w:qFormat/>
    <w:uiPriority w:val="0"/>
    <w:rPr>
      <w:color w:val="000000"/>
      <w:sz w:val="24"/>
      <w:szCs w:val="24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658</Words>
  <Characters>3757</Characters>
  <Lines>31</Lines>
  <Paragraphs>8</Paragraphs>
  <TotalTime>0</TotalTime>
  <ScaleCrop>false</ScaleCrop>
  <LinksUpToDate>false</LinksUpToDate>
  <CharactersWithSpaces>4407</CharactersWithSpaces>
  <Application>WPS Office_3.0.2.4882_F1E327BC-269C-435d-A152-05C5408002CA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2020-03-19T08:23:00Z</dcterms:created>
  <dc:creator>Microsoft Office 用户</dc:creator>
  <cp:lastModifiedBy>suenzora</cp:lastModifiedBy>
  <dcterms:modified xsi:type="dcterms:W3CDTF">2021-01-24T14:31:09Z</dcterms:modified>
  <cp:revision>120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2052-3.0.2.4882</vt:lpwstr>
  </property>
  <property fmtid="{D5CDD505-2E9C-101B-9397-08002B2CF9AE}" pid="3" name="Mendeley Document_1">
    <vt:lpwstr>True</vt:lpwstr>
  </property>
  <property fmtid="{D5CDD505-2E9C-101B-9397-08002B2CF9AE}" pid="4" name="Mendeley Unique User Id_1">
    <vt:lpwstr>740ec8b4-e1a8-38f1-9650-ad466d47216d</vt:lpwstr>
  </property>
</Properties>
</file>