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CD2AF" w14:textId="7550D92A" w:rsidR="00F21FD4" w:rsidRDefault="00000000">
      <w:pPr>
        <w:widowControl w:val="0"/>
        <w:rPr>
          <w:b/>
        </w:rPr>
      </w:pPr>
      <w:r>
        <w:rPr>
          <w:b/>
        </w:rPr>
        <w:t>Appendix 2: Chronic conditions</w:t>
      </w:r>
    </w:p>
    <w:p w14:paraId="3E2B5000" w14:textId="77777777" w:rsidR="00F21FD4" w:rsidRDefault="00000000">
      <w:pPr>
        <w:widowControl w:val="0"/>
        <w:rPr>
          <w:b/>
        </w:rPr>
      </w:pPr>
      <w:r>
        <w:rPr>
          <w:b/>
        </w:rPr>
        <w:t xml:space="preserve"> </w:t>
      </w:r>
    </w:p>
    <w:p w14:paraId="1EA8F455" w14:textId="77777777" w:rsidR="00F21FD4" w:rsidRDefault="00000000">
      <w:pPr>
        <w:widowControl w:val="0"/>
      </w:pPr>
      <w:r>
        <w:t xml:space="preserve">We identified a total of 18 chronic conditions using administrative data from April 1, </w:t>
      </w:r>
      <w:proofErr w:type="gramStart"/>
      <w:r>
        <w:t>2001</w:t>
      </w:r>
      <w:proofErr w:type="gramEnd"/>
      <w:r>
        <w:t xml:space="preserve"> onwards.</w:t>
      </w:r>
    </w:p>
    <w:p w14:paraId="52B21CAC" w14:textId="77777777" w:rsidR="00F21FD4" w:rsidRDefault="00000000">
      <w:pPr>
        <w:widowControl w:val="0"/>
      </w:pPr>
      <w:r>
        <w:t xml:space="preserve"> </w:t>
      </w:r>
    </w:p>
    <w:p w14:paraId="1602CA61" w14:textId="77777777" w:rsidR="00F21FD4" w:rsidRDefault="00000000">
      <w:pPr>
        <w:widowControl w:val="0"/>
      </w:pPr>
      <w:r>
        <w:t>We used validated ICES algorithms to ascertain cases of the following 8 chronic conditions:</w:t>
      </w:r>
    </w:p>
    <w:p w14:paraId="041AA131" w14:textId="77777777" w:rsidR="00F21FD4" w:rsidRDefault="00000000">
      <w:pPr>
        <w:widowControl w:val="0"/>
      </w:pPr>
      <w:r>
        <w:t xml:space="preserve"> </w:t>
      </w:r>
    </w:p>
    <w:p w14:paraId="0CA67FE3" w14:textId="77777777" w:rsidR="00F21FD4" w:rsidRDefault="00000000">
      <w:pPr>
        <w:widowControl w:val="0"/>
        <w:ind w:left="720" w:hanging="360"/>
      </w:pPr>
      <w: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Acute myocardial infarction</w:t>
      </w:r>
    </w:p>
    <w:p w14:paraId="6A84EBF2" w14:textId="77777777" w:rsidR="00F21FD4" w:rsidRDefault="00000000">
      <w:pPr>
        <w:widowControl w:val="0"/>
        <w:ind w:left="720" w:hanging="360"/>
      </w:pPr>
      <w:r>
        <w:t>2.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Asthma</w:t>
      </w:r>
    </w:p>
    <w:p w14:paraId="085CA3DF" w14:textId="77777777" w:rsidR="00F21FD4" w:rsidRDefault="00000000">
      <w:pPr>
        <w:widowControl w:val="0"/>
        <w:ind w:left="720" w:hanging="360"/>
      </w:pPr>
      <w:r>
        <w:t>3.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Congestive Heart Failure (CHF)</w:t>
      </w:r>
    </w:p>
    <w:p w14:paraId="65074646" w14:textId="77777777" w:rsidR="00F21FD4" w:rsidRDefault="00000000">
      <w:pPr>
        <w:widowControl w:val="0"/>
        <w:ind w:left="720" w:hanging="360"/>
      </w:pPr>
      <w:r>
        <w:t>4.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Chronic Obstructive Pulmonary Disease (COPD)</w:t>
      </w:r>
    </w:p>
    <w:p w14:paraId="631FE855" w14:textId="77777777" w:rsidR="00F21FD4" w:rsidRDefault="00000000">
      <w:pPr>
        <w:widowControl w:val="0"/>
        <w:ind w:left="720" w:hanging="360"/>
      </w:pPr>
      <w:r>
        <w:t>5.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Dementia</w:t>
      </w:r>
    </w:p>
    <w:p w14:paraId="5A20FD36" w14:textId="77777777" w:rsidR="00F21FD4" w:rsidRDefault="00000000">
      <w:pPr>
        <w:widowControl w:val="0"/>
        <w:ind w:left="720" w:hanging="360"/>
      </w:pPr>
      <w:r>
        <w:t>6.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Diabetes</w:t>
      </w:r>
    </w:p>
    <w:p w14:paraId="3E9EF5E1" w14:textId="77777777" w:rsidR="00F21FD4" w:rsidRDefault="00000000">
      <w:pPr>
        <w:widowControl w:val="0"/>
        <w:ind w:left="720" w:hanging="360"/>
      </w:pPr>
      <w:r>
        <w:t>7.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Hypertension</w:t>
      </w:r>
    </w:p>
    <w:p w14:paraId="734B9CD7" w14:textId="77777777" w:rsidR="00F21FD4" w:rsidRDefault="00000000">
      <w:pPr>
        <w:widowControl w:val="0"/>
        <w:ind w:left="720" w:hanging="360"/>
      </w:pPr>
      <w:r>
        <w:t>8.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Rheumatoid Arthritis</w:t>
      </w:r>
    </w:p>
    <w:p w14:paraId="36CCD7B9" w14:textId="77777777" w:rsidR="00F21FD4" w:rsidRDefault="00000000">
      <w:pPr>
        <w:widowControl w:val="0"/>
      </w:pPr>
      <w:r>
        <w:t xml:space="preserve"> </w:t>
      </w:r>
    </w:p>
    <w:p w14:paraId="6B7C922C" w14:textId="77777777" w:rsidR="00F21FD4" w:rsidRDefault="00000000">
      <w:pPr>
        <w:widowControl w:val="0"/>
      </w:pPr>
      <w:r>
        <w:t>The remaining 10 chronic conditions were defined according to inpatient hospital diagnostic codes (at least 1 from Discharge Abstract Database) or outpatient physician billing codes (at least 2 from Ontario Health Insurance Plan within a 2-year period):</w:t>
      </w:r>
    </w:p>
    <w:p w14:paraId="25008424" w14:textId="77777777" w:rsidR="00F21FD4" w:rsidRDefault="00000000">
      <w:pPr>
        <w:widowControl w:val="0"/>
      </w:pPr>
      <w:r>
        <w:t xml:space="preserve"> </w:t>
      </w:r>
    </w:p>
    <w:p w14:paraId="1FDA30F9" w14:textId="77777777" w:rsidR="00F21FD4" w:rsidRDefault="00000000">
      <w:pPr>
        <w:widowControl w:val="0"/>
        <w:ind w:left="720" w:hanging="360"/>
      </w:pPr>
      <w: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Arrhythmia</w:t>
      </w:r>
    </w:p>
    <w:p w14:paraId="10957669" w14:textId="77777777" w:rsidR="00F21FD4" w:rsidRDefault="00000000">
      <w:pPr>
        <w:widowControl w:val="0"/>
        <w:ind w:left="720" w:hanging="360"/>
      </w:pPr>
      <w:r>
        <w:t>2.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Cancer</w:t>
      </w:r>
    </w:p>
    <w:p w14:paraId="50EC453A" w14:textId="77777777" w:rsidR="00F21FD4" w:rsidRDefault="00000000">
      <w:pPr>
        <w:widowControl w:val="0"/>
        <w:ind w:left="720" w:hanging="360"/>
      </w:pPr>
      <w:r>
        <w:t>3.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Coronary Heart Disease</w:t>
      </w:r>
    </w:p>
    <w:p w14:paraId="1328ACEC" w14:textId="77777777" w:rsidR="00F21FD4" w:rsidRDefault="00000000">
      <w:pPr>
        <w:widowControl w:val="0"/>
        <w:ind w:left="720" w:hanging="360"/>
      </w:pPr>
      <w:r>
        <w:t>4.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Inflammatory Bowel Disease (IBD)</w:t>
      </w:r>
    </w:p>
    <w:p w14:paraId="1A7E8DF6" w14:textId="77777777" w:rsidR="00F21FD4" w:rsidRDefault="00000000">
      <w:pPr>
        <w:widowControl w:val="0"/>
        <w:ind w:left="720" w:hanging="360"/>
        <w:jc w:val="both"/>
      </w:pPr>
      <w:r>
        <w:t>5.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Non-psychotic mood and anxiety disorders</w:t>
      </w:r>
    </w:p>
    <w:p w14:paraId="0418E100" w14:textId="77777777" w:rsidR="00F21FD4" w:rsidRDefault="00000000">
      <w:pPr>
        <w:widowControl w:val="0"/>
        <w:ind w:left="720" w:hanging="360"/>
      </w:pPr>
      <w:r>
        <w:t>6.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Osteoarthritis</w:t>
      </w:r>
    </w:p>
    <w:p w14:paraId="497C6D2E" w14:textId="77777777" w:rsidR="00F21FD4" w:rsidRDefault="00000000">
      <w:pPr>
        <w:widowControl w:val="0"/>
        <w:ind w:left="720" w:hanging="360"/>
      </w:pPr>
      <w:r>
        <w:t>7.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Osteoporosis</w:t>
      </w:r>
    </w:p>
    <w:p w14:paraId="45754FAF" w14:textId="77777777" w:rsidR="00F21FD4" w:rsidRDefault="00000000">
      <w:pPr>
        <w:widowControl w:val="0"/>
        <w:ind w:left="720" w:hanging="360"/>
        <w:jc w:val="both"/>
      </w:pPr>
      <w:r>
        <w:t>8.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Other mental health conditions</w:t>
      </w:r>
    </w:p>
    <w:p w14:paraId="407EBB79" w14:textId="77777777" w:rsidR="00F21FD4" w:rsidRDefault="00000000">
      <w:pPr>
        <w:widowControl w:val="0"/>
        <w:ind w:left="720" w:hanging="360"/>
      </w:pPr>
      <w:r>
        <w:t>9.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t>Renal Disease</w:t>
      </w:r>
    </w:p>
    <w:p w14:paraId="58EAF50F" w14:textId="77777777" w:rsidR="00F21FD4" w:rsidRDefault="00000000">
      <w:pPr>
        <w:widowControl w:val="0"/>
        <w:ind w:left="720" w:hanging="360"/>
      </w:pPr>
      <w:r>
        <w:t>10.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</w:t>
      </w:r>
      <w:r>
        <w:t>Stroke</w:t>
      </w:r>
    </w:p>
    <w:p w14:paraId="48C83410" w14:textId="77777777" w:rsidR="00F21FD4" w:rsidRDefault="00000000">
      <w:pPr>
        <w:widowControl w:val="0"/>
        <w:rPr>
          <w:b/>
        </w:rPr>
      </w:pPr>
      <w:r>
        <w:rPr>
          <w:b/>
        </w:rPr>
        <w:t xml:space="preserve"> </w:t>
      </w:r>
    </w:p>
    <w:p w14:paraId="43822E11" w14:textId="77777777" w:rsidR="00F21FD4" w:rsidRDefault="00000000">
      <w:pPr>
        <w:widowControl w:val="0"/>
        <w:rPr>
          <w:u w:val="single"/>
        </w:rPr>
      </w:pPr>
      <w:r>
        <w:rPr>
          <w:u w:val="single"/>
        </w:rPr>
        <w:t>References:</w:t>
      </w:r>
    </w:p>
    <w:p w14:paraId="742E1D5C" w14:textId="77777777" w:rsidR="00F21FD4" w:rsidRDefault="00000000">
      <w:pPr>
        <w:widowControl w:val="0"/>
        <w:rPr>
          <w:color w:val="131413"/>
        </w:rPr>
      </w:pPr>
      <w:r>
        <w:rPr>
          <w:color w:val="131413"/>
        </w:rPr>
        <w:t xml:space="preserve">1. </w:t>
      </w:r>
      <w:proofErr w:type="spellStart"/>
      <w:r>
        <w:rPr>
          <w:color w:val="131413"/>
        </w:rPr>
        <w:t>Gruneir</w:t>
      </w:r>
      <w:proofErr w:type="spellEnd"/>
      <w:r>
        <w:rPr>
          <w:color w:val="131413"/>
        </w:rPr>
        <w:t xml:space="preserve"> A, </w:t>
      </w:r>
      <w:proofErr w:type="spellStart"/>
      <w:r>
        <w:rPr>
          <w:color w:val="131413"/>
        </w:rPr>
        <w:t>Bronskill</w:t>
      </w:r>
      <w:proofErr w:type="spellEnd"/>
      <w:r>
        <w:rPr>
          <w:color w:val="131413"/>
        </w:rPr>
        <w:t xml:space="preserve"> SE, Maxwell CJ, Bai YQ, Kone AJ, </w:t>
      </w:r>
      <w:proofErr w:type="spellStart"/>
      <w:r>
        <w:rPr>
          <w:color w:val="131413"/>
        </w:rPr>
        <w:t>Thavorn</w:t>
      </w:r>
      <w:proofErr w:type="spellEnd"/>
      <w:r>
        <w:rPr>
          <w:color w:val="131413"/>
        </w:rPr>
        <w:t xml:space="preserve"> K, et al. The association between multimorbidity and hospitalization is modified by individual demographics and physician continuity of care: a retrospective cohort study. </w:t>
      </w:r>
      <w:r>
        <w:rPr>
          <w:i/>
          <w:color w:val="131413"/>
        </w:rPr>
        <w:t>BMC Health Serv Res</w:t>
      </w:r>
      <w:r>
        <w:rPr>
          <w:color w:val="131413"/>
        </w:rPr>
        <w:t>. 2016;16:154.</w:t>
      </w:r>
    </w:p>
    <w:p w14:paraId="282954CD" w14:textId="77777777" w:rsidR="00F21FD4" w:rsidRDefault="00000000">
      <w:pPr>
        <w:widowControl w:val="0"/>
        <w:rPr>
          <w:color w:val="131413"/>
        </w:rPr>
      </w:pPr>
      <w:r>
        <w:rPr>
          <w:color w:val="131413"/>
        </w:rPr>
        <w:t xml:space="preserve">2. </w:t>
      </w:r>
      <w:proofErr w:type="spellStart"/>
      <w:r>
        <w:rPr>
          <w:color w:val="131413"/>
        </w:rPr>
        <w:t>Koné</w:t>
      </w:r>
      <w:proofErr w:type="spellEnd"/>
      <w:r>
        <w:rPr>
          <w:color w:val="131413"/>
        </w:rPr>
        <w:t xml:space="preserve"> </w:t>
      </w:r>
      <w:proofErr w:type="spellStart"/>
      <w:r>
        <w:rPr>
          <w:color w:val="131413"/>
        </w:rPr>
        <w:t>Pefoyo</w:t>
      </w:r>
      <w:proofErr w:type="spellEnd"/>
      <w:r>
        <w:rPr>
          <w:color w:val="131413"/>
        </w:rPr>
        <w:t xml:space="preserve"> AJ, </w:t>
      </w:r>
      <w:proofErr w:type="spellStart"/>
      <w:r>
        <w:rPr>
          <w:color w:val="131413"/>
        </w:rPr>
        <w:t>Bronskill</w:t>
      </w:r>
      <w:proofErr w:type="spellEnd"/>
      <w:r>
        <w:rPr>
          <w:color w:val="131413"/>
        </w:rPr>
        <w:t xml:space="preserve"> SE, </w:t>
      </w:r>
      <w:proofErr w:type="spellStart"/>
      <w:r>
        <w:rPr>
          <w:color w:val="131413"/>
        </w:rPr>
        <w:t>Gruneir</w:t>
      </w:r>
      <w:proofErr w:type="spellEnd"/>
      <w:r>
        <w:rPr>
          <w:color w:val="131413"/>
        </w:rPr>
        <w:t xml:space="preserve"> A, </w:t>
      </w:r>
      <w:proofErr w:type="spellStart"/>
      <w:r>
        <w:rPr>
          <w:color w:val="131413"/>
        </w:rPr>
        <w:t>Calzavara</w:t>
      </w:r>
      <w:proofErr w:type="spellEnd"/>
      <w:r>
        <w:rPr>
          <w:color w:val="131413"/>
        </w:rPr>
        <w:t xml:space="preserve"> A, </w:t>
      </w:r>
      <w:proofErr w:type="spellStart"/>
      <w:r>
        <w:rPr>
          <w:color w:val="131413"/>
        </w:rPr>
        <w:t>Thavorn</w:t>
      </w:r>
      <w:proofErr w:type="spellEnd"/>
      <w:r>
        <w:rPr>
          <w:color w:val="131413"/>
        </w:rPr>
        <w:t xml:space="preserve"> K, </w:t>
      </w:r>
      <w:proofErr w:type="spellStart"/>
      <w:r>
        <w:rPr>
          <w:color w:val="131413"/>
        </w:rPr>
        <w:t>Petrosyan</w:t>
      </w:r>
      <w:proofErr w:type="spellEnd"/>
      <w:r>
        <w:rPr>
          <w:color w:val="131413"/>
        </w:rPr>
        <w:t xml:space="preserve"> Y, et al. The increasing burden and complexity of multimorbidity. </w:t>
      </w:r>
      <w:r>
        <w:rPr>
          <w:i/>
          <w:color w:val="131413"/>
        </w:rPr>
        <w:t>BMC Public Health</w:t>
      </w:r>
      <w:r>
        <w:rPr>
          <w:color w:val="131413"/>
        </w:rPr>
        <w:t>. 2015;15:415.</w:t>
      </w:r>
    </w:p>
    <w:p w14:paraId="54A6F20C" w14:textId="77777777" w:rsidR="00F21FD4" w:rsidRDefault="00000000">
      <w:pPr>
        <w:widowControl w:val="0"/>
        <w:rPr>
          <w:color w:val="131413"/>
        </w:rPr>
      </w:pPr>
      <w:r>
        <w:rPr>
          <w:color w:val="131413"/>
        </w:rPr>
        <w:t xml:space="preserve">3. </w:t>
      </w:r>
      <w:proofErr w:type="spellStart"/>
      <w:r>
        <w:rPr>
          <w:color w:val="131413"/>
        </w:rPr>
        <w:t>Mondor</w:t>
      </w:r>
      <w:proofErr w:type="spellEnd"/>
      <w:r>
        <w:rPr>
          <w:color w:val="131413"/>
        </w:rPr>
        <w:t xml:space="preserve"> L, Maxwell CJ, </w:t>
      </w:r>
      <w:proofErr w:type="spellStart"/>
      <w:r>
        <w:rPr>
          <w:color w:val="131413"/>
        </w:rPr>
        <w:t>Bronskill</w:t>
      </w:r>
      <w:proofErr w:type="spellEnd"/>
      <w:r>
        <w:rPr>
          <w:color w:val="131413"/>
        </w:rPr>
        <w:t xml:space="preserve"> SE, </w:t>
      </w:r>
      <w:proofErr w:type="spellStart"/>
      <w:r>
        <w:rPr>
          <w:color w:val="131413"/>
        </w:rPr>
        <w:t>Gruneir</w:t>
      </w:r>
      <w:proofErr w:type="spellEnd"/>
      <w:r>
        <w:rPr>
          <w:color w:val="131413"/>
        </w:rPr>
        <w:t xml:space="preserve"> A, </w:t>
      </w:r>
      <w:proofErr w:type="spellStart"/>
      <w:r>
        <w:rPr>
          <w:color w:val="131413"/>
        </w:rPr>
        <w:t>Wodchis</w:t>
      </w:r>
      <w:proofErr w:type="spellEnd"/>
      <w:r>
        <w:rPr>
          <w:color w:val="131413"/>
        </w:rPr>
        <w:t xml:space="preserve"> WP. The relative impact of chronic conditions and multimorbidity on health-related quality of life in Ontario long-stay home care clients. </w:t>
      </w:r>
      <w:r>
        <w:rPr>
          <w:i/>
          <w:color w:val="131413"/>
        </w:rPr>
        <w:t>Qual Life Res</w:t>
      </w:r>
      <w:r>
        <w:rPr>
          <w:color w:val="131413"/>
        </w:rPr>
        <w:t>. 2016;25:2619–32.</w:t>
      </w:r>
    </w:p>
    <w:p w14:paraId="23A08B55" w14:textId="77777777" w:rsidR="00F21FD4" w:rsidRDefault="00000000">
      <w:pPr>
        <w:widowControl w:val="0"/>
        <w:rPr>
          <w:color w:val="131413"/>
        </w:rPr>
      </w:pPr>
      <w:r>
        <w:rPr>
          <w:color w:val="131413"/>
        </w:rPr>
        <w:t xml:space="preserve">4. </w:t>
      </w:r>
      <w:proofErr w:type="spellStart"/>
      <w:r>
        <w:rPr>
          <w:color w:val="131413"/>
        </w:rPr>
        <w:t>Muggah</w:t>
      </w:r>
      <w:proofErr w:type="spellEnd"/>
      <w:r>
        <w:rPr>
          <w:color w:val="131413"/>
        </w:rPr>
        <w:t xml:space="preserve"> E, Graves E, Bennett C, Manuel DG. The impact of multiple chronic diseases on ambulatory care use; a population-based study in Ontario, Canada. </w:t>
      </w:r>
      <w:r>
        <w:rPr>
          <w:i/>
          <w:color w:val="131413"/>
        </w:rPr>
        <w:t>BMC Health Serv Res</w:t>
      </w:r>
      <w:r>
        <w:rPr>
          <w:color w:val="131413"/>
        </w:rPr>
        <w:t>. 2012;12:452.</w:t>
      </w:r>
    </w:p>
    <w:p w14:paraId="610DEE9B" w14:textId="77777777" w:rsidR="00F21FD4" w:rsidRDefault="00F21FD4">
      <w:pPr>
        <w:widowControl w:val="0"/>
        <w:rPr>
          <w:color w:val="131413"/>
        </w:rPr>
      </w:pPr>
    </w:p>
    <w:sectPr w:rsidR="00F21FD4">
      <w:footerReference w:type="default" r:id="rId8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D7D9E" w14:textId="77777777" w:rsidR="00CA4C48" w:rsidRDefault="00CA4C48">
      <w:r>
        <w:separator/>
      </w:r>
    </w:p>
  </w:endnote>
  <w:endnote w:type="continuationSeparator" w:id="0">
    <w:p w14:paraId="012FA669" w14:textId="77777777" w:rsidR="00CA4C48" w:rsidRDefault="00CA4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  <w:embedRegular r:id="rId1" w:fontKey="{D144C830-23B3-524D-9EA4-31531638C6F1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E34817FD-E481-C44B-96A4-6F026596B411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4B768A5F-1FE5-5C49-82B0-0C44346D6642}"/>
    <w:embedBold r:id="rId4" w:fontKey="{E6D53D80-3FE1-1143-AA3F-55D4C5E91388}"/>
    <w:embedItalic r:id="rId5" w:fontKey="{B78F946D-D23A-014D-9679-02F21D5EFB8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7F82FC8F-3AE2-CD4F-B356-649BED8A0E10}"/>
    <w:embedBold r:id="rId7" w:fontKey="{10CCB071-6C48-7247-BEC6-0773A3B408D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279810D0-E454-4F40-B5C7-817E8F07D171}"/>
    <w:embedItalic r:id="rId9" w:fontKey="{30D62BEA-10B6-7C46-B176-3AE3AE2776F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0" w:fontKey="{7ACC260C-E1E1-7D40-ABF9-22757E9D09C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1" w:fontKey="{D16D20E0-95BF-8E43-8D57-D7AB4EB7514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BBB6F" w14:textId="77777777" w:rsidR="00F21FD4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B4711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310A1" w14:textId="77777777" w:rsidR="00CA4C48" w:rsidRDefault="00CA4C48">
      <w:r>
        <w:separator/>
      </w:r>
    </w:p>
  </w:footnote>
  <w:footnote w:type="continuationSeparator" w:id="0">
    <w:p w14:paraId="009B53F7" w14:textId="77777777" w:rsidR="00CA4C48" w:rsidRDefault="00CA4C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257C9"/>
    <w:multiLevelType w:val="multilevel"/>
    <w:tmpl w:val="0FDCEE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EE10A8D"/>
    <w:multiLevelType w:val="multilevel"/>
    <w:tmpl w:val="E6921B0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283803021">
    <w:abstractNumId w:val="0"/>
  </w:num>
  <w:num w:numId="2" w16cid:durableId="789932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FD4"/>
    <w:rsid w:val="00072BD7"/>
    <w:rsid w:val="002206D5"/>
    <w:rsid w:val="0024438F"/>
    <w:rsid w:val="003951FF"/>
    <w:rsid w:val="00496C97"/>
    <w:rsid w:val="00496E92"/>
    <w:rsid w:val="005F54CB"/>
    <w:rsid w:val="00843798"/>
    <w:rsid w:val="00875D19"/>
    <w:rsid w:val="00A33106"/>
    <w:rsid w:val="00B47111"/>
    <w:rsid w:val="00C67507"/>
    <w:rsid w:val="00CA4C48"/>
    <w:rsid w:val="00D557E9"/>
    <w:rsid w:val="00E75186"/>
    <w:rsid w:val="00F00B76"/>
    <w:rsid w:val="00F11B70"/>
    <w:rsid w:val="00F2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1B4840"/>
  <w15:docId w15:val="{2BEE9987-5604-1C42-8999-77B5C173E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6538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38ED"/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38ED"/>
    <w:rPr>
      <w:rFonts w:eastAsiaTheme="minorEastAsia"/>
      <w:sz w:val="20"/>
      <w:szCs w:val="20"/>
    </w:rPr>
  </w:style>
  <w:style w:type="paragraph" w:styleId="ListParagraph">
    <w:name w:val="List Paragraph"/>
    <w:basedOn w:val="Normal"/>
    <w:uiPriority w:val="34"/>
    <w:qFormat/>
    <w:rsid w:val="00AF29EC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94C"/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94C"/>
    <w:rPr>
      <w:rFonts w:eastAsiaTheme="minorEastAsia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F70E7"/>
    <w:rPr>
      <w:color w:val="0000FF"/>
      <w:u w:val="single"/>
    </w:rPr>
  </w:style>
  <w:style w:type="paragraph" w:styleId="Revision">
    <w:name w:val="Revision"/>
    <w:hidden/>
    <w:uiPriority w:val="99"/>
    <w:semiHidden/>
    <w:rsid w:val="000F073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f01">
    <w:name w:val="cf01"/>
    <w:basedOn w:val="DefaultParagraphFont"/>
    <w:rsid w:val="002D110C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F5287"/>
    <w:rPr>
      <w:color w:val="605E5C"/>
      <w:shd w:val="clear" w:color="auto" w:fill="E1DFDD"/>
    </w:r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translate">
    <w:name w:val="notranslate"/>
    <w:basedOn w:val="DefaultParagraphFont"/>
    <w:rsid w:val="000E0636"/>
  </w:style>
  <w:style w:type="table" w:styleId="TableGrid">
    <w:name w:val="Table Grid"/>
    <w:basedOn w:val="TableNormal"/>
    <w:uiPriority w:val="39"/>
    <w:rsid w:val="00851483"/>
    <w:rPr>
      <w:rFonts w:ascii="Times New Roman" w:eastAsiaTheme="minorHAnsi" w:hAnsi="Times New Roman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8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OMsi/SmPkyKStR5oJQUa/6aAnA==">CgMxLjA4AHIhMWVzbjJudUd1V0hYMEhjQ3B2cmUxdFdVSEdEbnU4Q3JH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1530</Characters>
  <Application>Microsoft Office Word</Application>
  <DocSecurity>0</DocSecurity>
  <Lines>85</Lines>
  <Paragraphs>61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Reaume</dc:creator>
  <cp:lastModifiedBy>Cayden Peixoto</cp:lastModifiedBy>
  <cp:revision>2</cp:revision>
  <dcterms:created xsi:type="dcterms:W3CDTF">2024-04-26T15:37:00Z</dcterms:created>
  <dcterms:modified xsi:type="dcterms:W3CDTF">2024-04-26T15:37:00Z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f8c5d54f-fbab-322f-b6e1-b6f7724653cf</vt:lpwstr>
  </property>
  <property fmtid="{D5CDD505-2E9C-101B-9397-08002B2CF9AE}" pid="4" name="Mendeley Citation Style_1">
    <vt:lpwstr>http://www.zotero.org/styles/jama</vt:lpwstr>
  </property>
  <property fmtid="{D5CDD505-2E9C-101B-9397-08002B2CF9AE}" pid="5" name="Mendeley Recent Style Id 0_1">
    <vt:lpwstr>http://www.zotero.org/styles/american-journal-of-nephrology</vt:lpwstr>
  </property>
  <property fmtid="{D5CDD505-2E9C-101B-9397-08002B2CF9AE}" pid="6" name="Mendeley Recent Style Name 0_1">
    <vt:lpwstr>American Journal of Nephrology</vt:lpwstr>
  </property>
  <property fmtid="{D5CDD505-2E9C-101B-9397-08002B2CF9AE}" pid="7" name="Mendeley Recent Style Id 1_1">
    <vt:lpwstr>http://www.zotero.org/styles/american-medical-association</vt:lpwstr>
  </property>
  <property fmtid="{D5CDD505-2E9C-101B-9397-08002B2CF9AE}" pid="8" name="Mendeley Recent Style Name 1_1">
    <vt:lpwstr>American Medical Association</vt:lpwstr>
  </property>
  <property fmtid="{D5CDD505-2E9C-101B-9397-08002B2CF9AE}" pid="9" name="Mendeley Recent Style Id 2_1">
    <vt:lpwstr>http://www.zotero.org/styles/bmc-geriatrics</vt:lpwstr>
  </property>
  <property fmtid="{D5CDD505-2E9C-101B-9397-08002B2CF9AE}" pid="10" name="Mendeley Recent Style Name 2_1">
    <vt:lpwstr>BMC Geriatrics</vt:lpwstr>
  </property>
  <property fmtid="{D5CDD505-2E9C-101B-9397-08002B2CF9AE}" pid="11" name="Mendeley Recent Style Id 3_1">
    <vt:lpwstr>http://www.zotero.org/styles/bmc-health-services-research</vt:lpwstr>
  </property>
  <property fmtid="{D5CDD505-2E9C-101B-9397-08002B2CF9AE}" pid="12" name="Mendeley Recent Style Name 3_1">
    <vt:lpwstr>BMC Health Services Research</vt:lpwstr>
  </property>
  <property fmtid="{D5CDD505-2E9C-101B-9397-08002B2CF9AE}" pid="13" name="Mendeley Recent Style Id 4_1">
    <vt:lpwstr>http://www.zotero.org/styles/bmj-quality-and-safety</vt:lpwstr>
  </property>
  <property fmtid="{D5CDD505-2E9C-101B-9397-08002B2CF9AE}" pid="14" name="Mendeley Recent Style Name 4_1">
    <vt:lpwstr>BMJ Quality &amp; Safety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http://www.zotero.org/styles/jama</vt:lpwstr>
  </property>
  <property fmtid="{D5CDD505-2E9C-101B-9397-08002B2CF9AE}" pid="20" name="Mendeley Recent Style Name 7_1">
    <vt:lpwstr>JAMA (The Journal of the American Medical Association)</vt:lpwstr>
  </property>
  <property fmtid="{D5CDD505-2E9C-101B-9397-08002B2CF9AE}" pid="21" name="Mendeley Recent Style Id 8_1">
    <vt:lpwstr>http://csl.mendeley.com/styles/484733011/Michael</vt:lpwstr>
  </property>
  <property fmtid="{D5CDD505-2E9C-101B-9397-08002B2CF9AE}" pid="22" name="Mendeley Recent Style Name 8_1">
    <vt:lpwstr>Michael_One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