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b/>
          <w:bCs/>
          <w:i/>
          <w:iCs/>
          <w:sz w:val="36"/>
          <w:szCs w:val="36"/>
        </w:rPr>
      </w:pPr>
      <w:r>
        <w:rPr>
          <w:b/>
          <w:bCs/>
          <w:i/>
          <w:iCs/>
          <w:sz w:val="36"/>
          <w:szCs w:val="36"/>
        </w:rPr>
        <w:t>Supplementary Information</w:t>
      </w:r>
    </w:p>
    <w:p>
      <w:pPr>
        <w:jc w:val="center"/>
      </w:pPr>
    </w:p>
    <w:p>
      <w:pPr>
        <w:spacing w:line="360" w:lineRule="auto"/>
        <w:jc w:val="center"/>
        <w:rPr>
          <w:b/>
          <w:sz w:val="28"/>
          <w:szCs w:val="28"/>
        </w:rPr>
      </w:pPr>
      <w:r>
        <w:rPr>
          <w:rFonts w:hint="eastAsia"/>
          <w:b/>
          <w:sz w:val="28"/>
          <w:szCs w:val="28"/>
        </w:rPr>
        <w:t>Regulating the Connectivity of Hydrogen Bonding Networks on Pt for Alkaline Hydrogen Oxidation</w:t>
      </w:r>
    </w:p>
    <w:p>
      <w:pPr>
        <w:spacing w:line="360" w:lineRule="auto"/>
        <w:jc w:val="center"/>
        <w:rPr>
          <w:b/>
          <w:sz w:val="28"/>
          <w:szCs w:val="28"/>
        </w:rPr>
      </w:pPr>
    </w:p>
    <w:p>
      <w:pPr>
        <w:widowControl/>
        <w:spacing w:line="360" w:lineRule="auto"/>
        <w:jc w:val="center"/>
        <w:rPr>
          <w:rFonts w:cs="Times New Roman"/>
          <w:sz w:val="24"/>
          <w:szCs w:val="24"/>
        </w:rPr>
      </w:pPr>
      <w:r>
        <w:rPr>
          <w:rFonts w:hint="eastAsia" w:cs="Times New Roman"/>
          <w:sz w:val="24"/>
          <w:szCs w:val="24"/>
        </w:rPr>
        <w:t>Wei Liu</w:t>
      </w:r>
      <w:r>
        <w:rPr>
          <w:rFonts w:hint="eastAsia" w:cs="Times New Roman"/>
          <w:sz w:val="24"/>
          <w:szCs w:val="24"/>
          <w:vertAlign w:val="superscript"/>
        </w:rPr>
        <w:t>#</w:t>
      </w:r>
      <w:r>
        <w:rPr>
          <w:rFonts w:cs="Times New Roman"/>
          <w:sz w:val="24"/>
          <w:szCs w:val="24"/>
        </w:rPr>
        <w:t>, Zhensheng Mi</w:t>
      </w:r>
      <w:r>
        <w:rPr>
          <w:rFonts w:hint="eastAsia" w:cs="Times New Roman"/>
          <w:sz w:val="24"/>
          <w:szCs w:val="24"/>
          <w:vertAlign w:val="superscript"/>
        </w:rPr>
        <w:t>#</w:t>
      </w:r>
      <w:r>
        <w:rPr>
          <w:rFonts w:cs="Times New Roman"/>
          <w:sz w:val="24"/>
          <w:szCs w:val="24"/>
        </w:rPr>
        <w:t xml:space="preserve">, </w:t>
      </w:r>
      <w:r>
        <w:rPr>
          <w:rFonts w:hint="eastAsia" w:cs="Times New Roman"/>
          <w:sz w:val="24"/>
          <w:szCs w:val="24"/>
        </w:rPr>
        <w:t>Fengyuan Wei</w:t>
      </w:r>
      <w:r>
        <w:rPr>
          <w:rFonts w:hint="eastAsia" w:cs="Times New Roman"/>
          <w:sz w:val="24"/>
          <w:szCs w:val="24"/>
          <w:vertAlign w:val="superscript"/>
        </w:rPr>
        <w:t>#</w:t>
      </w:r>
      <w:r>
        <w:rPr>
          <w:rFonts w:hint="eastAsia" w:cs="Times New Roman"/>
          <w:sz w:val="24"/>
          <w:szCs w:val="24"/>
        </w:rPr>
        <w:t>, Kangjie Lyu</w:t>
      </w:r>
      <w:r>
        <w:rPr>
          <w:rFonts w:cs="Times New Roman"/>
          <w:sz w:val="24"/>
          <w:szCs w:val="24"/>
        </w:rPr>
        <w:t xml:space="preserve">, </w:t>
      </w:r>
      <w:r>
        <w:rPr>
          <w:rFonts w:hint="eastAsia" w:cs="Times New Roman"/>
          <w:sz w:val="24"/>
          <w:szCs w:val="24"/>
        </w:rPr>
        <w:t>Peng Li</w:t>
      </w:r>
      <w:r>
        <w:rPr>
          <w:rFonts w:cs="Times New Roman"/>
          <w:sz w:val="24"/>
          <w:szCs w:val="24"/>
          <w:vertAlign w:val="superscript"/>
        </w:rPr>
        <w:t>*</w:t>
      </w:r>
      <w:r>
        <w:rPr>
          <w:rFonts w:cs="Times New Roman"/>
          <w:sz w:val="24"/>
          <w:szCs w:val="24"/>
        </w:rPr>
        <w:t xml:space="preserve">, </w:t>
      </w:r>
      <w:r>
        <w:rPr>
          <w:rFonts w:hint="eastAsia" w:cs="Times New Roman"/>
          <w:sz w:val="24"/>
          <w:szCs w:val="24"/>
        </w:rPr>
        <w:t xml:space="preserve">Gongwei Wang, Shengli Chen, </w:t>
      </w:r>
      <w:r>
        <w:rPr>
          <w:rFonts w:cs="Times New Roman"/>
          <w:sz w:val="24"/>
          <w:szCs w:val="24"/>
        </w:rPr>
        <w:t>Li Xiao</w:t>
      </w:r>
      <w:r>
        <w:rPr>
          <w:rFonts w:cs="Times New Roman"/>
          <w:sz w:val="24"/>
          <w:szCs w:val="24"/>
          <w:vertAlign w:val="superscript"/>
        </w:rPr>
        <w:t>*</w:t>
      </w:r>
      <w:r>
        <w:rPr>
          <w:rFonts w:cs="Times New Roman"/>
          <w:sz w:val="24"/>
          <w:szCs w:val="24"/>
        </w:rPr>
        <w:t xml:space="preserve">, </w:t>
      </w:r>
      <w:r>
        <w:rPr>
          <w:rFonts w:hint="eastAsia" w:cs="Times New Roman"/>
          <w:sz w:val="24"/>
          <w:szCs w:val="24"/>
        </w:rPr>
        <w:t>Lin Zhuang</w:t>
      </w:r>
      <w:r>
        <w:rPr>
          <w:rFonts w:cs="Times New Roman"/>
          <w:sz w:val="24"/>
          <w:szCs w:val="24"/>
          <w:vertAlign w:val="superscript"/>
        </w:rPr>
        <w:t>*</w:t>
      </w:r>
    </w:p>
    <w:p>
      <w:pPr>
        <w:widowControl/>
        <w:spacing w:line="360" w:lineRule="auto"/>
        <w:jc w:val="center"/>
        <w:rPr>
          <w:rFonts w:cs="Times New Roman"/>
        </w:rPr>
      </w:pPr>
    </w:p>
    <w:p>
      <w:pPr>
        <w:widowControl/>
        <w:spacing w:line="360" w:lineRule="auto"/>
        <w:jc w:val="center"/>
        <w:rPr>
          <w:rFonts w:cs="Times New Roman"/>
          <w:i/>
        </w:rPr>
      </w:pPr>
      <w:r>
        <w:rPr>
          <w:rFonts w:cs="Times New Roman"/>
          <w:i/>
        </w:rPr>
        <w:t>College of Chemistry and Molecular Sciences, Hubei Key Lab of Electrochemical Power Sources, Wuhan University, Wuhan 430072, China</w:t>
      </w:r>
    </w:p>
    <w:p>
      <w:pPr>
        <w:jc w:val="center"/>
        <w:rPr>
          <w:rFonts w:cs="Times New Roman"/>
          <w:i/>
        </w:rPr>
      </w:pPr>
      <w:r>
        <w:rPr>
          <w:rFonts w:cs="Times New Roman"/>
          <w:i/>
        </w:rPr>
        <w:t>E-mails:</w:t>
      </w:r>
      <w:r>
        <w:rPr>
          <w:rFonts w:hint="eastAsia" w:cs="Times New Roman"/>
          <w:i/>
        </w:rPr>
        <w:t xml:space="preserve"> </w:t>
      </w:r>
      <w:r>
        <w:fldChar w:fldCharType="begin"/>
      </w:r>
      <w:r>
        <w:instrText xml:space="preserve"> HYPERLINK "mailto:peng.li@whu.edu.cn," </w:instrText>
      </w:r>
      <w:r>
        <w:fldChar w:fldCharType="separate"/>
      </w:r>
      <w:r>
        <w:rPr>
          <w:rStyle w:val="9"/>
          <w:rFonts w:hint="eastAsia" w:cs="Times New Roman"/>
          <w:i/>
          <w:color w:val="000000" w:themeColor="text1"/>
          <w:u w:val="none"/>
          <w14:textFill>
            <w14:solidFill>
              <w14:schemeClr w14:val="tx1"/>
            </w14:solidFill>
          </w14:textFill>
        </w:rPr>
        <w:t>peng.li@whu.edu.cn,</w:t>
      </w:r>
      <w:r>
        <w:rPr>
          <w:rStyle w:val="9"/>
          <w:rFonts w:hint="eastAsia" w:cs="Times New Roman"/>
          <w:i/>
          <w:color w:val="000000" w:themeColor="text1"/>
          <w:u w:val="none"/>
          <w14:textFill>
            <w14:solidFill>
              <w14:schemeClr w14:val="tx1"/>
            </w14:solidFill>
          </w14:textFill>
        </w:rPr>
        <w:fldChar w:fldCharType="end"/>
      </w:r>
      <w:r>
        <w:rPr>
          <w:rFonts w:hint="eastAsia" w:cs="Times New Roman"/>
          <w:i/>
        </w:rPr>
        <w:t xml:space="preserve"> </w:t>
      </w:r>
      <w:r>
        <w:fldChar w:fldCharType="begin"/>
      </w:r>
      <w:r>
        <w:instrText xml:space="preserve"> HYPERLINK "mailto:chem.lily@whu.edu.cn" </w:instrText>
      </w:r>
      <w:r>
        <w:fldChar w:fldCharType="separate"/>
      </w:r>
      <w:r>
        <w:rPr>
          <w:rStyle w:val="9"/>
          <w:rFonts w:cs="Times New Roman"/>
          <w:i/>
          <w:color w:val="auto"/>
          <w:u w:val="none"/>
        </w:rPr>
        <w:t>chem.lily@whu.edu.cn</w:t>
      </w:r>
      <w:r>
        <w:rPr>
          <w:rStyle w:val="9"/>
          <w:rFonts w:cs="Times New Roman"/>
          <w:i/>
          <w:color w:val="auto"/>
          <w:u w:val="none"/>
        </w:rPr>
        <w:fldChar w:fldCharType="end"/>
      </w:r>
      <w:r>
        <w:rPr>
          <w:rFonts w:cs="Times New Roman"/>
          <w:i/>
        </w:rPr>
        <w:t>, lzhuang@whu.edu.cn</w:t>
      </w:r>
    </w:p>
    <w:p/>
    <w:p>
      <w:r>
        <w:br w:type="page"/>
      </w:r>
    </w:p>
    <w:p>
      <w:pPr>
        <w:jc w:val="center"/>
        <w:rPr>
          <w:rFonts w:cs="Times New Roman"/>
        </w:rPr>
      </w:pPr>
      <w:r>
        <w:drawing>
          <wp:inline distT="0" distB="0" distL="0" distR="0">
            <wp:extent cx="5273675" cy="1814830"/>
            <wp:effectExtent l="0" t="0" r="3175" b="4445"/>
            <wp:docPr id="1062288846"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2288846" name="图片 2"/>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a:xfrm>
                      <a:off x="0" y="0"/>
                      <a:ext cx="5274000" cy="1815450"/>
                    </a:xfrm>
                    <a:prstGeom prst="rect">
                      <a:avLst/>
                    </a:prstGeom>
                    <a:noFill/>
                    <a:ln>
                      <a:noFill/>
                    </a:ln>
                  </pic:spPr>
                </pic:pic>
              </a:graphicData>
            </a:graphic>
          </wp:inline>
        </w:drawing>
      </w:r>
    </w:p>
    <w:p>
      <w:pPr>
        <w:rPr>
          <w:rFonts w:hint="eastAsia"/>
        </w:rPr>
      </w:pPr>
      <w:r>
        <w:rPr>
          <w:rFonts w:hint="eastAsia" w:cs="Times New Roman"/>
          <w:b/>
        </w:rPr>
        <w:t>Figure S1.</w:t>
      </w:r>
      <w:r>
        <w:rPr>
          <w:rFonts w:hint="eastAsia" w:cs="Times New Roman"/>
        </w:rPr>
        <w:t xml:space="preserve"> Contact angles (CA) of all Pt/C-x. </w:t>
      </w:r>
      <w:r>
        <w:rPr>
          <w:rFonts w:hint="eastAsia"/>
        </w:rPr>
        <w:t>The standard deviation for CA was obtained from six independent measurements.</w:t>
      </w:r>
    </w:p>
    <w:p>
      <w:pPr>
        <w:rPr>
          <w:rFonts w:hint="eastAsia"/>
        </w:rPr>
      </w:pPr>
      <w:r>
        <w:rPr>
          <w:rFonts w:hint="eastAsia"/>
        </w:rPr>
        <w:br w:type="page"/>
      </w:r>
    </w:p>
    <w:p>
      <w:pPr>
        <w:jc w:val="center"/>
        <w:rPr>
          <w:rFonts w:cs="Times New Roman"/>
          <w:color w:val="000000" w:themeColor="text1"/>
          <w14:textFill>
            <w14:solidFill>
              <w14:schemeClr w14:val="tx1"/>
            </w14:solidFill>
          </w14:textFill>
        </w:rPr>
      </w:pPr>
      <w:r>
        <w:drawing>
          <wp:inline distT="0" distB="0" distL="0" distR="0">
            <wp:extent cx="5273675" cy="3787775"/>
            <wp:effectExtent l="0" t="0" r="3175" b="3175"/>
            <wp:docPr id="46401899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4018994" name="图片 1"/>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a:xfrm>
                      <a:off x="0" y="0"/>
                      <a:ext cx="5274000" cy="3788122"/>
                    </a:xfrm>
                    <a:prstGeom prst="rect">
                      <a:avLst/>
                    </a:prstGeom>
                    <a:noFill/>
                    <a:ln>
                      <a:noFill/>
                    </a:ln>
                  </pic:spPr>
                </pic:pic>
              </a:graphicData>
            </a:graphic>
          </wp:inline>
        </w:drawing>
      </w:r>
    </w:p>
    <w:p>
      <w:r>
        <w:rPr>
          <w:rFonts w:cs="Times New Roman"/>
          <w:b/>
          <w:color w:val="000000" w:themeColor="text1"/>
          <w14:textFill>
            <w14:solidFill>
              <w14:schemeClr w14:val="tx1"/>
            </w14:solidFill>
          </w14:textFill>
        </w:rPr>
        <w:t>Figure S</w:t>
      </w:r>
      <w:r>
        <w:rPr>
          <w:rFonts w:hint="eastAsia" w:cs="Times New Roman"/>
          <w:b/>
          <w:color w:val="000000" w:themeColor="text1"/>
          <w14:textFill>
            <w14:solidFill>
              <w14:schemeClr w14:val="tx1"/>
            </w14:solidFill>
          </w14:textFill>
        </w:rPr>
        <w:t>2</w:t>
      </w:r>
      <w:r>
        <w:rPr>
          <w:rFonts w:cs="Times New Roman"/>
          <w:b/>
          <w:color w:val="000000" w:themeColor="text1"/>
          <w14:textFill>
            <w14:solidFill>
              <w14:schemeClr w14:val="tx1"/>
            </w14:solidFill>
          </w14:textFill>
        </w:rPr>
        <w:t>.</w:t>
      </w:r>
      <w:r>
        <w:rPr>
          <w:rFonts w:hint="eastAsia" w:cs="Times New Roman"/>
          <w:color w:val="FF0000"/>
        </w:rPr>
        <w:t xml:space="preserve"> </w:t>
      </w:r>
      <w:r>
        <w:t xml:space="preserve">The correlation between the CA and 9 characteristics of the organic molecules, including maximum/minimum of ESP and the </w:t>
      </w:r>
      <w:r>
        <w:rPr>
          <w:rFonts w:hint="eastAsia"/>
        </w:rPr>
        <w:t>range</w:t>
      </w:r>
      <w:r>
        <w:t xml:space="preserve"> of ESP, variance of positive and negative part of ESP and variance of total ESP, maximum/minimum of ADCH charge and the range of ADCH. The coefficient of determination (R</w:t>
      </w:r>
      <w:r>
        <w:rPr>
          <w:vertAlign w:val="superscript"/>
        </w:rPr>
        <w:t>2</w:t>
      </w:r>
      <w:r>
        <w:t>) of each correlation was also included.</w:t>
      </w:r>
    </w:p>
    <w:p>
      <w:pPr>
        <w:sectPr>
          <w:pgSz w:w="11906" w:h="16838"/>
          <w:pgMar w:top="1803" w:right="1440" w:bottom="1803" w:left="1440" w:header="851" w:footer="992" w:gutter="0"/>
          <w:cols w:space="425" w:num="1"/>
          <w:docGrid w:type="lines" w:linePitch="312" w:charSpace="0"/>
        </w:sectPr>
      </w:pPr>
    </w:p>
    <w:p>
      <w:pPr>
        <w:jc w:val="left"/>
      </w:pPr>
      <w:r>
        <w:rPr>
          <w:b/>
          <w:color w:val="000000" w:themeColor="text1"/>
          <w14:textFill>
            <w14:solidFill>
              <w14:schemeClr w14:val="tx1"/>
            </w14:solidFill>
          </w14:textFill>
        </w:rPr>
        <w:t>Table S1.</w:t>
      </w:r>
      <w:r>
        <w:rPr>
          <w:b/>
        </w:rPr>
        <w:t xml:space="preserve"> </w:t>
      </w:r>
      <w:r>
        <w:t>The theoretical calculation results of 9 characteristics of the organic molecules.</w:t>
      </w:r>
    </w:p>
    <w:tbl>
      <w:tblPr>
        <w:tblStyle w:val="6"/>
        <w:tblW w:w="14091" w:type="dxa"/>
        <w:jc w:val="center"/>
        <w:tblLayout w:type="fixed"/>
        <w:tblCellMar>
          <w:top w:w="0" w:type="dxa"/>
          <w:left w:w="0" w:type="dxa"/>
          <w:bottom w:w="0" w:type="dxa"/>
          <w:right w:w="0" w:type="dxa"/>
        </w:tblCellMar>
      </w:tblPr>
      <w:tblGrid>
        <w:gridCol w:w="567"/>
        <w:gridCol w:w="2627"/>
        <w:gridCol w:w="1201"/>
        <w:gridCol w:w="1417"/>
        <w:gridCol w:w="1282"/>
        <w:gridCol w:w="1231"/>
        <w:gridCol w:w="1399"/>
        <w:gridCol w:w="1106"/>
        <w:gridCol w:w="1037"/>
        <w:gridCol w:w="1090"/>
        <w:gridCol w:w="1134"/>
      </w:tblGrid>
      <w:tr>
        <w:tblPrEx>
          <w:tblCellMar>
            <w:top w:w="0" w:type="dxa"/>
            <w:left w:w="0" w:type="dxa"/>
            <w:bottom w:w="0" w:type="dxa"/>
            <w:right w:w="0" w:type="dxa"/>
          </w:tblCellMar>
        </w:tblPrEx>
        <w:trPr>
          <w:trHeight w:val="1089" w:hRule="atLeast"/>
          <w:jc w:val="center"/>
        </w:trPr>
        <w:tc>
          <w:tcPr>
            <w:tcW w:w="567" w:type="dxa"/>
            <w:tcBorders>
              <w:top w:val="single" w:color="000000" w:sz="8" w:space="0"/>
              <w:left w:val="nil"/>
              <w:bottom w:val="single" w:color="000000" w:sz="8" w:space="0"/>
              <w:right w:val="nil"/>
            </w:tcBorders>
            <w:shd w:val="clear" w:color="auto" w:fill="FFFFFF"/>
          </w:tcPr>
          <w:p>
            <w:pPr>
              <w:rPr>
                <w:sz w:val="16"/>
                <w:szCs w:val="16"/>
              </w:rPr>
            </w:pPr>
          </w:p>
        </w:tc>
        <w:tc>
          <w:tcPr>
            <w:tcW w:w="2627" w:type="dxa"/>
            <w:tcBorders>
              <w:top w:val="single" w:color="000000" w:sz="8" w:space="0"/>
              <w:left w:val="nil"/>
              <w:bottom w:val="single" w:color="000000" w:sz="8" w:space="0"/>
              <w:right w:val="nil"/>
            </w:tcBorders>
            <w:shd w:val="clear" w:color="auto" w:fill="FFFFFF"/>
            <w:tcMar>
              <w:top w:w="11" w:type="dxa"/>
              <w:left w:w="11" w:type="dxa"/>
              <w:bottom w:w="0" w:type="dxa"/>
              <w:right w:w="11" w:type="dxa"/>
            </w:tcMar>
            <w:vAlign w:val="center"/>
          </w:tcPr>
          <w:p>
            <w:pPr>
              <w:rPr>
                <w:sz w:val="16"/>
                <w:szCs w:val="16"/>
              </w:rPr>
            </w:pPr>
          </w:p>
        </w:tc>
        <w:tc>
          <w:tcPr>
            <w:tcW w:w="1201" w:type="dxa"/>
            <w:tcBorders>
              <w:top w:val="single" w:color="000000" w:sz="8" w:space="0"/>
              <w:left w:val="nil"/>
              <w:bottom w:val="single" w:color="000000" w:sz="8" w:space="0"/>
              <w:right w:val="nil"/>
            </w:tcBorders>
            <w:shd w:val="clear" w:color="auto" w:fill="FFFFFF"/>
            <w:tcMar>
              <w:top w:w="11" w:type="dxa"/>
              <w:left w:w="11" w:type="dxa"/>
              <w:bottom w:w="0" w:type="dxa"/>
              <w:right w:w="11" w:type="dxa"/>
            </w:tcMar>
            <w:vAlign w:val="center"/>
          </w:tcPr>
          <w:p>
            <w:pPr>
              <w:rPr>
                <w:sz w:val="16"/>
                <w:szCs w:val="16"/>
              </w:rPr>
            </w:pPr>
            <w:r>
              <w:rPr>
                <w:sz w:val="16"/>
                <w:szCs w:val="16"/>
              </w:rPr>
              <w:t>Minimum electrostatic potential</w:t>
            </w:r>
            <w:r>
              <w:rPr>
                <w:rFonts w:hint="eastAsia"/>
                <w:sz w:val="16"/>
                <w:szCs w:val="16"/>
              </w:rPr>
              <w:t xml:space="preserve"> (eV)</w:t>
            </w:r>
          </w:p>
        </w:tc>
        <w:tc>
          <w:tcPr>
            <w:tcW w:w="1417" w:type="dxa"/>
            <w:tcBorders>
              <w:top w:val="single" w:color="000000" w:sz="8" w:space="0"/>
              <w:left w:val="nil"/>
              <w:bottom w:val="single" w:color="000000" w:sz="8" w:space="0"/>
              <w:right w:val="nil"/>
            </w:tcBorders>
            <w:shd w:val="clear" w:color="auto" w:fill="FFFFFF"/>
            <w:tcMar>
              <w:top w:w="11" w:type="dxa"/>
              <w:left w:w="11" w:type="dxa"/>
              <w:bottom w:w="0" w:type="dxa"/>
              <w:right w:w="11" w:type="dxa"/>
            </w:tcMar>
            <w:vAlign w:val="center"/>
          </w:tcPr>
          <w:p>
            <w:pPr>
              <w:rPr>
                <w:sz w:val="16"/>
                <w:szCs w:val="16"/>
              </w:rPr>
            </w:pPr>
            <w:r>
              <w:rPr>
                <w:sz w:val="16"/>
                <w:szCs w:val="16"/>
              </w:rPr>
              <w:t xml:space="preserve">Maximum electrostatic </w:t>
            </w:r>
          </w:p>
          <w:p>
            <w:pPr>
              <w:rPr>
                <w:sz w:val="16"/>
                <w:szCs w:val="16"/>
              </w:rPr>
            </w:pPr>
            <w:r>
              <w:rPr>
                <w:sz w:val="16"/>
                <w:szCs w:val="16"/>
              </w:rPr>
              <w:t>potential</w:t>
            </w:r>
            <w:r>
              <w:rPr>
                <w:rFonts w:hint="eastAsia"/>
                <w:sz w:val="16"/>
                <w:szCs w:val="16"/>
              </w:rPr>
              <w:t xml:space="preserve"> (eV)</w:t>
            </w:r>
          </w:p>
        </w:tc>
        <w:tc>
          <w:tcPr>
            <w:tcW w:w="1282" w:type="dxa"/>
            <w:tcBorders>
              <w:top w:val="single" w:color="000000" w:sz="8" w:space="0"/>
              <w:left w:val="nil"/>
              <w:bottom w:val="single" w:color="000000" w:sz="8" w:space="0"/>
              <w:right w:val="nil"/>
            </w:tcBorders>
            <w:shd w:val="clear" w:color="auto" w:fill="FFFFFF"/>
            <w:tcMar>
              <w:top w:w="11" w:type="dxa"/>
              <w:left w:w="11" w:type="dxa"/>
              <w:bottom w:w="0" w:type="dxa"/>
              <w:right w:w="11" w:type="dxa"/>
            </w:tcMar>
            <w:vAlign w:val="center"/>
          </w:tcPr>
          <w:p>
            <w:pPr>
              <w:rPr>
                <w:sz w:val="16"/>
                <w:szCs w:val="16"/>
              </w:rPr>
            </w:pPr>
            <w:r>
              <w:rPr>
                <w:sz w:val="16"/>
                <w:szCs w:val="16"/>
              </w:rPr>
              <w:t xml:space="preserve">Range </w:t>
            </w:r>
          </w:p>
          <w:p>
            <w:pPr>
              <w:rPr>
                <w:sz w:val="16"/>
                <w:szCs w:val="16"/>
              </w:rPr>
            </w:pPr>
            <w:r>
              <w:rPr>
                <w:sz w:val="16"/>
                <w:szCs w:val="16"/>
              </w:rPr>
              <w:t xml:space="preserve">of </w:t>
            </w:r>
          </w:p>
          <w:p>
            <w:pPr>
              <w:rPr>
                <w:sz w:val="16"/>
                <w:szCs w:val="16"/>
              </w:rPr>
            </w:pPr>
            <w:r>
              <w:rPr>
                <w:sz w:val="16"/>
                <w:szCs w:val="16"/>
              </w:rPr>
              <w:t>electrostatic potential</w:t>
            </w:r>
            <w:r>
              <w:rPr>
                <w:rFonts w:hint="eastAsia"/>
                <w:sz w:val="16"/>
                <w:szCs w:val="16"/>
              </w:rPr>
              <w:t xml:space="preserve"> (eV)</w:t>
            </w:r>
          </w:p>
        </w:tc>
        <w:tc>
          <w:tcPr>
            <w:tcW w:w="1231" w:type="dxa"/>
            <w:tcBorders>
              <w:top w:val="single" w:color="000000" w:sz="8" w:space="0"/>
              <w:left w:val="nil"/>
              <w:bottom w:val="single" w:color="000000" w:sz="8" w:space="0"/>
              <w:right w:val="nil"/>
            </w:tcBorders>
            <w:shd w:val="clear" w:color="auto" w:fill="FFFFFF"/>
            <w:tcMar>
              <w:top w:w="11" w:type="dxa"/>
              <w:left w:w="11" w:type="dxa"/>
              <w:bottom w:w="0" w:type="dxa"/>
              <w:right w:w="11" w:type="dxa"/>
            </w:tcMar>
            <w:vAlign w:val="center"/>
          </w:tcPr>
          <w:p>
            <w:pPr>
              <w:rPr>
                <w:sz w:val="16"/>
                <w:szCs w:val="16"/>
              </w:rPr>
            </w:pPr>
            <w:r>
              <w:rPr>
                <w:sz w:val="16"/>
                <w:szCs w:val="16"/>
              </w:rPr>
              <w:t xml:space="preserve">Minimum </w:t>
            </w:r>
          </w:p>
          <w:p>
            <w:pPr>
              <w:rPr>
                <w:sz w:val="16"/>
                <w:szCs w:val="16"/>
              </w:rPr>
            </w:pPr>
            <w:r>
              <w:rPr>
                <w:sz w:val="16"/>
                <w:szCs w:val="16"/>
              </w:rPr>
              <w:t xml:space="preserve">ADCH </w:t>
            </w:r>
          </w:p>
          <w:p>
            <w:pPr>
              <w:rPr>
                <w:sz w:val="16"/>
                <w:szCs w:val="16"/>
              </w:rPr>
            </w:pPr>
            <w:r>
              <w:rPr>
                <w:sz w:val="16"/>
                <w:szCs w:val="16"/>
              </w:rPr>
              <w:t>charge</w:t>
            </w:r>
            <w:r>
              <w:rPr>
                <w:rFonts w:hint="eastAsia"/>
                <w:sz w:val="16"/>
                <w:szCs w:val="16"/>
              </w:rPr>
              <w:t xml:space="preserve"> (a.u.)</w:t>
            </w:r>
          </w:p>
        </w:tc>
        <w:tc>
          <w:tcPr>
            <w:tcW w:w="1399" w:type="dxa"/>
            <w:tcBorders>
              <w:top w:val="single" w:color="000000" w:sz="8" w:space="0"/>
              <w:left w:val="nil"/>
              <w:bottom w:val="single" w:color="000000" w:sz="8" w:space="0"/>
              <w:right w:val="nil"/>
            </w:tcBorders>
            <w:shd w:val="clear" w:color="auto" w:fill="FFFFFF"/>
            <w:tcMar>
              <w:top w:w="11" w:type="dxa"/>
              <w:left w:w="11" w:type="dxa"/>
              <w:bottom w:w="0" w:type="dxa"/>
              <w:right w:w="11" w:type="dxa"/>
            </w:tcMar>
            <w:vAlign w:val="center"/>
          </w:tcPr>
          <w:p>
            <w:pPr>
              <w:rPr>
                <w:sz w:val="16"/>
                <w:szCs w:val="16"/>
              </w:rPr>
            </w:pPr>
            <w:r>
              <w:rPr>
                <w:sz w:val="16"/>
                <w:szCs w:val="16"/>
              </w:rPr>
              <w:t xml:space="preserve">Maximum </w:t>
            </w:r>
          </w:p>
          <w:p>
            <w:pPr>
              <w:rPr>
                <w:sz w:val="16"/>
                <w:szCs w:val="16"/>
              </w:rPr>
            </w:pPr>
            <w:r>
              <w:rPr>
                <w:sz w:val="16"/>
                <w:szCs w:val="16"/>
              </w:rPr>
              <w:t>ADCH</w:t>
            </w:r>
          </w:p>
          <w:p>
            <w:pPr>
              <w:rPr>
                <w:sz w:val="16"/>
                <w:szCs w:val="16"/>
              </w:rPr>
            </w:pPr>
            <w:r>
              <w:rPr>
                <w:sz w:val="16"/>
                <w:szCs w:val="16"/>
              </w:rPr>
              <w:t>charge</w:t>
            </w:r>
            <w:r>
              <w:rPr>
                <w:rFonts w:hint="eastAsia"/>
                <w:sz w:val="16"/>
                <w:szCs w:val="16"/>
              </w:rPr>
              <w:t xml:space="preserve"> (a.u.)</w:t>
            </w:r>
          </w:p>
        </w:tc>
        <w:tc>
          <w:tcPr>
            <w:tcW w:w="1106" w:type="dxa"/>
            <w:tcBorders>
              <w:top w:val="single" w:color="000000" w:sz="8" w:space="0"/>
              <w:left w:val="nil"/>
              <w:bottom w:val="single" w:color="000000" w:sz="8" w:space="0"/>
              <w:right w:val="nil"/>
            </w:tcBorders>
            <w:shd w:val="clear" w:color="auto" w:fill="FFFFFF"/>
            <w:tcMar>
              <w:top w:w="11" w:type="dxa"/>
              <w:left w:w="11" w:type="dxa"/>
              <w:bottom w:w="0" w:type="dxa"/>
              <w:right w:w="11" w:type="dxa"/>
            </w:tcMar>
            <w:vAlign w:val="center"/>
          </w:tcPr>
          <w:p>
            <w:pPr>
              <w:rPr>
                <w:sz w:val="16"/>
                <w:szCs w:val="16"/>
              </w:rPr>
            </w:pPr>
            <w:r>
              <w:rPr>
                <w:sz w:val="16"/>
                <w:szCs w:val="16"/>
              </w:rPr>
              <w:t xml:space="preserve">Range of </w:t>
            </w:r>
          </w:p>
          <w:p>
            <w:pPr>
              <w:rPr>
                <w:sz w:val="16"/>
                <w:szCs w:val="16"/>
              </w:rPr>
            </w:pPr>
            <w:r>
              <w:rPr>
                <w:sz w:val="16"/>
                <w:szCs w:val="16"/>
              </w:rPr>
              <w:t>ADCH  potential</w:t>
            </w:r>
            <w:r>
              <w:rPr>
                <w:rFonts w:hint="eastAsia"/>
                <w:sz w:val="16"/>
                <w:szCs w:val="16"/>
              </w:rPr>
              <w:t xml:space="preserve"> (a.u.)</w:t>
            </w:r>
          </w:p>
        </w:tc>
        <w:tc>
          <w:tcPr>
            <w:tcW w:w="1037" w:type="dxa"/>
            <w:tcBorders>
              <w:top w:val="single" w:color="000000" w:sz="8" w:space="0"/>
              <w:left w:val="nil"/>
              <w:bottom w:val="single" w:color="000000" w:sz="8" w:space="0"/>
              <w:right w:val="nil"/>
            </w:tcBorders>
            <w:shd w:val="clear" w:color="auto" w:fill="FFFFFF"/>
            <w:tcMar>
              <w:top w:w="11" w:type="dxa"/>
              <w:left w:w="11" w:type="dxa"/>
              <w:bottom w:w="0" w:type="dxa"/>
              <w:right w:w="11" w:type="dxa"/>
            </w:tcMar>
            <w:vAlign w:val="center"/>
          </w:tcPr>
          <w:p>
            <w:pPr>
              <w:rPr>
                <w:sz w:val="16"/>
                <w:szCs w:val="16"/>
              </w:rPr>
            </w:pPr>
            <w:r>
              <w:rPr>
                <w:sz w:val="16"/>
                <w:szCs w:val="16"/>
              </w:rPr>
              <w:t xml:space="preserve">Variance </w:t>
            </w:r>
          </w:p>
          <w:p>
            <w:pPr>
              <w:rPr>
                <w:sz w:val="16"/>
                <w:szCs w:val="16"/>
              </w:rPr>
            </w:pPr>
            <w:r>
              <w:rPr>
                <w:sz w:val="16"/>
                <w:szCs w:val="16"/>
              </w:rPr>
              <w:t>of negative</w:t>
            </w:r>
          </w:p>
          <w:p>
            <w:pPr>
              <w:rPr>
                <w:sz w:val="16"/>
                <w:szCs w:val="16"/>
              </w:rPr>
            </w:pPr>
            <w:r>
              <w:rPr>
                <w:sz w:val="16"/>
                <w:szCs w:val="16"/>
              </w:rPr>
              <w:t xml:space="preserve"> part </w:t>
            </w:r>
          </w:p>
          <w:p>
            <w:pPr>
              <w:rPr>
                <w:sz w:val="16"/>
                <w:szCs w:val="16"/>
              </w:rPr>
            </w:pPr>
            <w:r>
              <w:rPr>
                <w:sz w:val="16"/>
                <w:szCs w:val="16"/>
              </w:rPr>
              <w:t>of ESP</w:t>
            </w:r>
            <w:r>
              <w:rPr>
                <w:rFonts w:hint="eastAsia"/>
                <w:sz w:val="16"/>
                <w:szCs w:val="16"/>
              </w:rPr>
              <w:t xml:space="preserve"> (eV</w:t>
            </w:r>
            <w:r>
              <w:rPr>
                <w:rFonts w:hint="eastAsia"/>
                <w:sz w:val="16"/>
                <w:szCs w:val="16"/>
                <w:vertAlign w:val="superscript"/>
              </w:rPr>
              <w:t>2</w:t>
            </w:r>
            <w:r>
              <w:rPr>
                <w:rFonts w:hint="eastAsia"/>
                <w:sz w:val="16"/>
                <w:szCs w:val="16"/>
              </w:rPr>
              <w:t>)</w:t>
            </w:r>
          </w:p>
        </w:tc>
        <w:tc>
          <w:tcPr>
            <w:tcW w:w="1090" w:type="dxa"/>
            <w:tcBorders>
              <w:top w:val="single" w:color="000000" w:sz="8" w:space="0"/>
              <w:left w:val="nil"/>
              <w:bottom w:val="single" w:color="000000" w:sz="8" w:space="0"/>
              <w:right w:val="nil"/>
            </w:tcBorders>
            <w:shd w:val="clear" w:color="auto" w:fill="FFFFFF"/>
            <w:tcMar>
              <w:top w:w="11" w:type="dxa"/>
              <w:left w:w="11" w:type="dxa"/>
              <w:bottom w:w="0" w:type="dxa"/>
              <w:right w:w="11" w:type="dxa"/>
            </w:tcMar>
            <w:vAlign w:val="center"/>
          </w:tcPr>
          <w:p>
            <w:pPr>
              <w:rPr>
                <w:sz w:val="16"/>
                <w:szCs w:val="16"/>
              </w:rPr>
            </w:pPr>
            <w:r>
              <w:rPr>
                <w:sz w:val="16"/>
                <w:szCs w:val="16"/>
              </w:rPr>
              <w:t>Variance</w:t>
            </w:r>
          </w:p>
          <w:p>
            <w:pPr>
              <w:rPr>
                <w:sz w:val="16"/>
                <w:szCs w:val="16"/>
              </w:rPr>
            </w:pPr>
            <w:r>
              <w:rPr>
                <w:sz w:val="16"/>
                <w:szCs w:val="16"/>
              </w:rPr>
              <w:t>of positive</w:t>
            </w:r>
          </w:p>
          <w:p>
            <w:pPr>
              <w:rPr>
                <w:sz w:val="16"/>
                <w:szCs w:val="16"/>
              </w:rPr>
            </w:pPr>
            <w:r>
              <w:rPr>
                <w:sz w:val="16"/>
                <w:szCs w:val="16"/>
              </w:rPr>
              <w:t xml:space="preserve">part </w:t>
            </w:r>
          </w:p>
          <w:p>
            <w:pPr>
              <w:rPr>
                <w:sz w:val="16"/>
                <w:szCs w:val="16"/>
              </w:rPr>
            </w:pPr>
            <w:r>
              <w:rPr>
                <w:sz w:val="16"/>
                <w:szCs w:val="16"/>
              </w:rPr>
              <w:t>of ESP</w:t>
            </w:r>
            <w:r>
              <w:rPr>
                <w:rFonts w:hint="eastAsia"/>
                <w:sz w:val="16"/>
                <w:szCs w:val="16"/>
              </w:rPr>
              <w:t xml:space="preserve"> (eV</w:t>
            </w:r>
            <w:r>
              <w:rPr>
                <w:rFonts w:hint="eastAsia"/>
                <w:sz w:val="16"/>
                <w:szCs w:val="16"/>
                <w:vertAlign w:val="superscript"/>
              </w:rPr>
              <w:t>2</w:t>
            </w:r>
            <w:r>
              <w:rPr>
                <w:rFonts w:hint="eastAsia"/>
                <w:sz w:val="16"/>
                <w:szCs w:val="16"/>
              </w:rPr>
              <w:t>)</w:t>
            </w:r>
          </w:p>
        </w:tc>
        <w:tc>
          <w:tcPr>
            <w:tcW w:w="1134" w:type="dxa"/>
            <w:tcBorders>
              <w:top w:val="single" w:color="000000" w:sz="8" w:space="0"/>
              <w:left w:val="nil"/>
              <w:bottom w:val="single" w:color="000000" w:sz="8" w:space="0"/>
              <w:right w:val="nil"/>
            </w:tcBorders>
            <w:shd w:val="clear" w:color="auto" w:fill="FFFFFF"/>
            <w:tcMar>
              <w:top w:w="11" w:type="dxa"/>
              <w:left w:w="11" w:type="dxa"/>
              <w:bottom w:w="0" w:type="dxa"/>
              <w:right w:w="11" w:type="dxa"/>
            </w:tcMar>
            <w:vAlign w:val="center"/>
          </w:tcPr>
          <w:p>
            <w:pPr>
              <w:rPr>
                <w:sz w:val="16"/>
                <w:szCs w:val="16"/>
              </w:rPr>
            </w:pPr>
            <w:r>
              <w:rPr>
                <w:sz w:val="16"/>
                <w:szCs w:val="16"/>
              </w:rPr>
              <w:t xml:space="preserve">Variance of </w:t>
            </w:r>
          </w:p>
          <w:p>
            <w:pPr>
              <w:rPr>
                <w:sz w:val="16"/>
                <w:szCs w:val="16"/>
              </w:rPr>
            </w:pPr>
            <w:r>
              <w:rPr>
                <w:sz w:val="16"/>
                <w:szCs w:val="16"/>
              </w:rPr>
              <w:t>total ESP</w:t>
            </w:r>
            <w:r>
              <w:rPr>
                <w:rFonts w:hint="eastAsia"/>
                <w:sz w:val="16"/>
                <w:szCs w:val="16"/>
              </w:rPr>
              <w:t xml:space="preserve"> (eV</w:t>
            </w:r>
            <w:r>
              <w:rPr>
                <w:rFonts w:hint="eastAsia"/>
                <w:sz w:val="16"/>
                <w:szCs w:val="16"/>
                <w:vertAlign w:val="superscript"/>
              </w:rPr>
              <w:t>2</w:t>
            </w:r>
            <w:r>
              <w:rPr>
                <w:rFonts w:hint="eastAsia"/>
                <w:sz w:val="16"/>
                <w:szCs w:val="16"/>
              </w:rPr>
              <w:t>)</w:t>
            </w:r>
          </w:p>
        </w:tc>
      </w:tr>
      <w:tr>
        <w:tblPrEx>
          <w:tblCellMar>
            <w:top w:w="0" w:type="dxa"/>
            <w:left w:w="0" w:type="dxa"/>
            <w:bottom w:w="0" w:type="dxa"/>
            <w:right w:w="0" w:type="dxa"/>
          </w:tblCellMar>
        </w:tblPrEx>
        <w:trPr>
          <w:trHeight w:val="381" w:hRule="atLeast"/>
          <w:jc w:val="center"/>
        </w:trPr>
        <w:tc>
          <w:tcPr>
            <w:tcW w:w="567" w:type="dxa"/>
            <w:tcBorders>
              <w:top w:val="single" w:color="000000" w:sz="8" w:space="0"/>
              <w:left w:val="nil"/>
              <w:bottom w:val="single" w:color="000000" w:sz="8" w:space="0"/>
              <w:right w:val="nil"/>
            </w:tcBorders>
            <w:shd w:val="clear" w:color="auto" w:fill="FFFFFF"/>
          </w:tcPr>
          <w:p>
            <w:pPr>
              <w:rPr>
                <w:sz w:val="18"/>
                <w:szCs w:val="18"/>
              </w:rPr>
            </w:pPr>
            <w:r>
              <w:rPr>
                <w:rFonts w:hint="eastAsia"/>
                <w:sz w:val="18"/>
                <w:szCs w:val="18"/>
              </w:rPr>
              <w:t>(1)</w:t>
            </w:r>
          </w:p>
        </w:tc>
        <w:tc>
          <w:tcPr>
            <w:tcW w:w="2627" w:type="dxa"/>
            <w:tcBorders>
              <w:top w:val="single" w:color="000000" w:sz="8" w:space="0"/>
              <w:left w:val="nil"/>
              <w:bottom w:val="single" w:color="000000" w:sz="8" w:space="0"/>
              <w:right w:val="nil"/>
            </w:tcBorders>
            <w:shd w:val="clear" w:color="auto" w:fill="FFFFFF"/>
            <w:tcMar>
              <w:top w:w="11" w:type="dxa"/>
              <w:left w:w="11" w:type="dxa"/>
              <w:bottom w:w="0" w:type="dxa"/>
              <w:right w:w="11" w:type="dxa"/>
            </w:tcMar>
            <w:vAlign w:val="center"/>
          </w:tcPr>
          <w:p>
            <w:pPr>
              <w:rPr>
                <w:sz w:val="18"/>
                <w:szCs w:val="18"/>
              </w:rPr>
            </w:pPr>
            <w:r>
              <w:rPr>
                <w:sz w:val="18"/>
                <w:szCs w:val="18"/>
              </w:rPr>
              <w:t>Benzotrifluoride</w:t>
            </w:r>
          </w:p>
        </w:tc>
        <w:tc>
          <w:tcPr>
            <w:tcW w:w="1201" w:type="dxa"/>
            <w:tcBorders>
              <w:top w:val="single" w:color="000000" w:sz="8" w:space="0"/>
              <w:left w:val="nil"/>
              <w:bottom w:val="single" w:color="000000" w:sz="8" w:space="0"/>
              <w:right w:val="nil"/>
            </w:tcBorders>
            <w:shd w:val="clear" w:color="auto" w:fill="FFFFFF"/>
            <w:tcMar>
              <w:top w:w="11" w:type="dxa"/>
              <w:left w:w="11" w:type="dxa"/>
              <w:bottom w:w="0" w:type="dxa"/>
              <w:right w:w="11" w:type="dxa"/>
            </w:tcMar>
          </w:tcPr>
          <w:p>
            <w:pPr>
              <w:rPr>
                <w:sz w:val="18"/>
                <w:szCs w:val="18"/>
              </w:rPr>
            </w:pPr>
            <w:r>
              <w:rPr>
                <w:sz w:val="18"/>
                <w:szCs w:val="18"/>
              </w:rPr>
              <w:t xml:space="preserve">-0.690 </w:t>
            </w:r>
          </w:p>
        </w:tc>
        <w:tc>
          <w:tcPr>
            <w:tcW w:w="1417" w:type="dxa"/>
            <w:tcBorders>
              <w:top w:val="single" w:color="000000" w:sz="8" w:space="0"/>
              <w:left w:val="nil"/>
              <w:bottom w:val="single" w:color="000000" w:sz="8" w:space="0"/>
              <w:right w:val="nil"/>
            </w:tcBorders>
            <w:shd w:val="clear" w:color="auto" w:fill="FFFFFF"/>
            <w:tcMar>
              <w:top w:w="11" w:type="dxa"/>
              <w:left w:w="11" w:type="dxa"/>
              <w:bottom w:w="0" w:type="dxa"/>
              <w:right w:w="11" w:type="dxa"/>
            </w:tcMar>
          </w:tcPr>
          <w:p>
            <w:pPr>
              <w:rPr>
                <w:sz w:val="18"/>
                <w:szCs w:val="18"/>
              </w:rPr>
            </w:pPr>
            <w:r>
              <w:rPr>
                <w:sz w:val="18"/>
                <w:szCs w:val="18"/>
              </w:rPr>
              <w:t xml:space="preserve">1.023 </w:t>
            </w:r>
          </w:p>
        </w:tc>
        <w:tc>
          <w:tcPr>
            <w:tcW w:w="1282" w:type="dxa"/>
            <w:tcBorders>
              <w:top w:val="single" w:color="000000" w:sz="8" w:space="0"/>
              <w:left w:val="nil"/>
              <w:bottom w:val="single" w:color="000000" w:sz="8" w:space="0"/>
              <w:right w:val="nil"/>
            </w:tcBorders>
            <w:shd w:val="clear" w:color="auto" w:fill="FFFFFF"/>
            <w:tcMar>
              <w:top w:w="11" w:type="dxa"/>
              <w:left w:w="11" w:type="dxa"/>
              <w:bottom w:w="0" w:type="dxa"/>
              <w:right w:w="11" w:type="dxa"/>
            </w:tcMar>
          </w:tcPr>
          <w:p>
            <w:pPr>
              <w:rPr>
                <w:sz w:val="18"/>
                <w:szCs w:val="18"/>
              </w:rPr>
            </w:pPr>
            <w:r>
              <w:rPr>
                <w:sz w:val="18"/>
                <w:szCs w:val="18"/>
              </w:rPr>
              <w:t xml:space="preserve">1.714 </w:t>
            </w:r>
          </w:p>
        </w:tc>
        <w:tc>
          <w:tcPr>
            <w:tcW w:w="1231" w:type="dxa"/>
            <w:tcBorders>
              <w:top w:val="single" w:color="000000" w:sz="8" w:space="0"/>
              <w:left w:val="nil"/>
              <w:bottom w:val="single" w:color="000000" w:sz="8" w:space="0"/>
              <w:right w:val="nil"/>
            </w:tcBorders>
            <w:shd w:val="clear" w:color="auto" w:fill="FFFFFF"/>
            <w:tcMar>
              <w:top w:w="11" w:type="dxa"/>
              <w:left w:w="11" w:type="dxa"/>
              <w:bottom w:w="0" w:type="dxa"/>
              <w:right w:w="11" w:type="dxa"/>
            </w:tcMar>
          </w:tcPr>
          <w:p>
            <w:pPr>
              <w:rPr>
                <w:sz w:val="18"/>
                <w:szCs w:val="18"/>
              </w:rPr>
            </w:pPr>
            <w:r>
              <w:rPr>
                <w:sz w:val="18"/>
                <w:szCs w:val="18"/>
              </w:rPr>
              <w:t xml:space="preserve">-0.161 </w:t>
            </w:r>
          </w:p>
        </w:tc>
        <w:tc>
          <w:tcPr>
            <w:tcW w:w="1399" w:type="dxa"/>
            <w:tcBorders>
              <w:top w:val="single" w:color="000000" w:sz="8" w:space="0"/>
              <w:left w:val="nil"/>
              <w:bottom w:val="single" w:color="000000" w:sz="8" w:space="0"/>
              <w:right w:val="nil"/>
            </w:tcBorders>
            <w:shd w:val="clear" w:color="auto" w:fill="FFFFFF"/>
            <w:tcMar>
              <w:top w:w="11" w:type="dxa"/>
              <w:left w:w="11" w:type="dxa"/>
              <w:bottom w:w="0" w:type="dxa"/>
              <w:right w:w="11" w:type="dxa"/>
            </w:tcMar>
          </w:tcPr>
          <w:p>
            <w:pPr>
              <w:rPr>
                <w:sz w:val="18"/>
                <w:szCs w:val="18"/>
              </w:rPr>
            </w:pPr>
            <w:r>
              <w:rPr>
                <w:sz w:val="18"/>
                <w:szCs w:val="18"/>
              </w:rPr>
              <w:t xml:space="preserve">0.461 </w:t>
            </w:r>
          </w:p>
        </w:tc>
        <w:tc>
          <w:tcPr>
            <w:tcW w:w="1106" w:type="dxa"/>
            <w:tcBorders>
              <w:top w:val="single" w:color="000000" w:sz="8" w:space="0"/>
              <w:left w:val="nil"/>
              <w:bottom w:val="single" w:color="000000" w:sz="8" w:space="0"/>
              <w:right w:val="nil"/>
            </w:tcBorders>
            <w:shd w:val="clear" w:color="auto" w:fill="FFFFFF"/>
            <w:tcMar>
              <w:top w:w="11" w:type="dxa"/>
              <w:left w:w="11" w:type="dxa"/>
              <w:bottom w:w="0" w:type="dxa"/>
              <w:right w:w="11" w:type="dxa"/>
            </w:tcMar>
          </w:tcPr>
          <w:p>
            <w:pPr>
              <w:rPr>
                <w:sz w:val="18"/>
                <w:szCs w:val="18"/>
              </w:rPr>
            </w:pPr>
            <w:r>
              <w:rPr>
                <w:sz w:val="18"/>
                <w:szCs w:val="18"/>
              </w:rPr>
              <w:t xml:space="preserve">0.622 </w:t>
            </w:r>
          </w:p>
        </w:tc>
        <w:tc>
          <w:tcPr>
            <w:tcW w:w="1037" w:type="dxa"/>
            <w:tcBorders>
              <w:top w:val="single" w:color="000000" w:sz="8" w:space="0"/>
              <w:left w:val="nil"/>
              <w:bottom w:val="single" w:color="000000" w:sz="8" w:space="0"/>
              <w:right w:val="nil"/>
            </w:tcBorders>
            <w:shd w:val="clear" w:color="auto" w:fill="FFFFFF"/>
            <w:tcMar>
              <w:top w:w="11" w:type="dxa"/>
              <w:left w:w="11" w:type="dxa"/>
              <w:bottom w:w="0" w:type="dxa"/>
              <w:right w:w="11" w:type="dxa"/>
            </w:tcMar>
          </w:tcPr>
          <w:p>
            <w:pPr>
              <w:rPr>
                <w:sz w:val="18"/>
                <w:szCs w:val="18"/>
              </w:rPr>
            </w:pPr>
            <w:r>
              <w:rPr>
                <w:sz w:val="18"/>
                <w:szCs w:val="18"/>
              </w:rPr>
              <w:t xml:space="preserve">0.880 </w:t>
            </w:r>
          </w:p>
        </w:tc>
        <w:tc>
          <w:tcPr>
            <w:tcW w:w="1090" w:type="dxa"/>
            <w:tcBorders>
              <w:top w:val="single" w:color="000000" w:sz="8" w:space="0"/>
              <w:left w:val="nil"/>
              <w:bottom w:val="single" w:color="000000" w:sz="8" w:space="0"/>
              <w:right w:val="nil"/>
            </w:tcBorders>
            <w:shd w:val="clear" w:color="auto" w:fill="FFFFFF"/>
            <w:tcMar>
              <w:top w:w="11" w:type="dxa"/>
              <w:left w:w="11" w:type="dxa"/>
              <w:bottom w:w="0" w:type="dxa"/>
              <w:right w:w="11" w:type="dxa"/>
            </w:tcMar>
          </w:tcPr>
          <w:p>
            <w:pPr>
              <w:rPr>
                <w:sz w:val="18"/>
                <w:szCs w:val="18"/>
              </w:rPr>
            </w:pPr>
            <w:r>
              <w:rPr>
                <w:sz w:val="18"/>
                <w:szCs w:val="18"/>
              </w:rPr>
              <w:t xml:space="preserve">1.897 </w:t>
            </w:r>
          </w:p>
        </w:tc>
        <w:tc>
          <w:tcPr>
            <w:tcW w:w="1134" w:type="dxa"/>
            <w:tcBorders>
              <w:top w:val="single" w:color="000000" w:sz="8" w:space="0"/>
              <w:left w:val="nil"/>
              <w:bottom w:val="single" w:color="000000" w:sz="8" w:space="0"/>
              <w:right w:val="nil"/>
            </w:tcBorders>
            <w:shd w:val="clear" w:color="auto" w:fill="FFFFFF"/>
            <w:tcMar>
              <w:top w:w="11" w:type="dxa"/>
              <w:left w:w="11" w:type="dxa"/>
              <w:bottom w:w="0" w:type="dxa"/>
              <w:right w:w="11" w:type="dxa"/>
            </w:tcMar>
          </w:tcPr>
          <w:p>
            <w:pPr>
              <w:rPr>
                <w:sz w:val="18"/>
                <w:szCs w:val="18"/>
              </w:rPr>
            </w:pPr>
            <w:r>
              <w:rPr>
                <w:sz w:val="18"/>
                <w:szCs w:val="18"/>
              </w:rPr>
              <w:t xml:space="preserve">2.778 </w:t>
            </w:r>
          </w:p>
        </w:tc>
      </w:tr>
      <w:tr>
        <w:tblPrEx>
          <w:tblCellMar>
            <w:top w:w="0" w:type="dxa"/>
            <w:left w:w="0" w:type="dxa"/>
            <w:bottom w:w="0" w:type="dxa"/>
            <w:right w:w="0" w:type="dxa"/>
          </w:tblCellMar>
        </w:tblPrEx>
        <w:trPr>
          <w:trHeight w:val="381" w:hRule="atLeast"/>
          <w:jc w:val="center"/>
        </w:trPr>
        <w:tc>
          <w:tcPr>
            <w:tcW w:w="567" w:type="dxa"/>
            <w:tcBorders>
              <w:top w:val="single" w:color="000000" w:sz="8" w:space="0"/>
              <w:left w:val="nil"/>
              <w:bottom w:val="single" w:color="000000" w:sz="8" w:space="0"/>
              <w:right w:val="nil"/>
            </w:tcBorders>
            <w:shd w:val="clear" w:color="auto" w:fill="FFFFFF"/>
          </w:tcPr>
          <w:p>
            <w:pPr>
              <w:rPr>
                <w:sz w:val="18"/>
                <w:szCs w:val="18"/>
              </w:rPr>
            </w:pPr>
            <w:r>
              <w:rPr>
                <w:rFonts w:hint="eastAsia"/>
                <w:sz w:val="18"/>
                <w:szCs w:val="18"/>
              </w:rPr>
              <w:t>(2)</w:t>
            </w:r>
          </w:p>
        </w:tc>
        <w:tc>
          <w:tcPr>
            <w:tcW w:w="2627" w:type="dxa"/>
            <w:tcBorders>
              <w:top w:val="single" w:color="000000" w:sz="8" w:space="0"/>
              <w:left w:val="nil"/>
              <w:bottom w:val="single" w:color="000000" w:sz="8" w:space="0"/>
              <w:right w:val="nil"/>
            </w:tcBorders>
            <w:shd w:val="clear" w:color="auto" w:fill="FFFFFF"/>
            <w:tcMar>
              <w:top w:w="11" w:type="dxa"/>
              <w:left w:w="11" w:type="dxa"/>
              <w:bottom w:w="0" w:type="dxa"/>
              <w:right w:w="11" w:type="dxa"/>
            </w:tcMar>
            <w:vAlign w:val="center"/>
          </w:tcPr>
          <w:p>
            <w:pPr>
              <w:rPr>
                <w:sz w:val="18"/>
                <w:szCs w:val="18"/>
              </w:rPr>
            </w:pPr>
            <w:r>
              <w:rPr>
                <w:sz w:val="18"/>
                <w:szCs w:val="18"/>
              </w:rPr>
              <w:t>aniline</w:t>
            </w:r>
          </w:p>
        </w:tc>
        <w:tc>
          <w:tcPr>
            <w:tcW w:w="1201" w:type="dxa"/>
            <w:tcBorders>
              <w:top w:val="single" w:color="000000" w:sz="8" w:space="0"/>
              <w:left w:val="nil"/>
              <w:bottom w:val="single" w:color="000000" w:sz="8" w:space="0"/>
              <w:right w:val="nil"/>
            </w:tcBorders>
            <w:shd w:val="clear" w:color="auto" w:fill="FFFFFF"/>
            <w:tcMar>
              <w:top w:w="11" w:type="dxa"/>
              <w:left w:w="11" w:type="dxa"/>
              <w:bottom w:w="0" w:type="dxa"/>
              <w:right w:w="11" w:type="dxa"/>
            </w:tcMar>
          </w:tcPr>
          <w:p>
            <w:pPr>
              <w:rPr>
                <w:sz w:val="18"/>
                <w:szCs w:val="18"/>
              </w:rPr>
            </w:pPr>
            <w:r>
              <w:rPr>
                <w:sz w:val="18"/>
                <w:szCs w:val="18"/>
              </w:rPr>
              <w:t xml:space="preserve">-1.231 </w:t>
            </w:r>
          </w:p>
        </w:tc>
        <w:tc>
          <w:tcPr>
            <w:tcW w:w="1417" w:type="dxa"/>
            <w:tcBorders>
              <w:top w:val="single" w:color="000000" w:sz="8" w:space="0"/>
              <w:left w:val="nil"/>
              <w:bottom w:val="single" w:color="000000" w:sz="8" w:space="0"/>
              <w:right w:val="nil"/>
            </w:tcBorders>
            <w:shd w:val="clear" w:color="auto" w:fill="FFFFFF"/>
            <w:tcMar>
              <w:top w:w="11" w:type="dxa"/>
              <w:left w:w="11" w:type="dxa"/>
              <w:bottom w:w="0" w:type="dxa"/>
              <w:right w:w="11" w:type="dxa"/>
            </w:tcMar>
          </w:tcPr>
          <w:p>
            <w:pPr>
              <w:rPr>
                <w:sz w:val="18"/>
                <w:szCs w:val="18"/>
              </w:rPr>
            </w:pPr>
            <w:r>
              <w:rPr>
                <w:sz w:val="18"/>
                <w:szCs w:val="18"/>
              </w:rPr>
              <w:t xml:space="preserve">1.563 </w:t>
            </w:r>
          </w:p>
        </w:tc>
        <w:tc>
          <w:tcPr>
            <w:tcW w:w="1282" w:type="dxa"/>
            <w:tcBorders>
              <w:top w:val="single" w:color="000000" w:sz="8" w:space="0"/>
              <w:left w:val="nil"/>
              <w:bottom w:val="single" w:color="000000" w:sz="8" w:space="0"/>
              <w:right w:val="nil"/>
            </w:tcBorders>
            <w:shd w:val="clear" w:color="auto" w:fill="FFFFFF"/>
            <w:tcMar>
              <w:top w:w="11" w:type="dxa"/>
              <w:left w:w="11" w:type="dxa"/>
              <w:bottom w:w="0" w:type="dxa"/>
              <w:right w:w="11" w:type="dxa"/>
            </w:tcMar>
          </w:tcPr>
          <w:p>
            <w:pPr>
              <w:rPr>
                <w:sz w:val="18"/>
                <w:szCs w:val="18"/>
              </w:rPr>
            </w:pPr>
            <w:r>
              <w:rPr>
                <w:sz w:val="18"/>
                <w:szCs w:val="18"/>
              </w:rPr>
              <w:t xml:space="preserve">2.793 </w:t>
            </w:r>
          </w:p>
        </w:tc>
        <w:tc>
          <w:tcPr>
            <w:tcW w:w="1231" w:type="dxa"/>
            <w:tcBorders>
              <w:top w:val="single" w:color="000000" w:sz="8" w:space="0"/>
              <w:left w:val="nil"/>
              <w:bottom w:val="single" w:color="000000" w:sz="8" w:space="0"/>
              <w:right w:val="nil"/>
            </w:tcBorders>
            <w:shd w:val="clear" w:color="auto" w:fill="FFFFFF"/>
            <w:tcMar>
              <w:top w:w="11" w:type="dxa"/>
              <w:left w:w="11" w:type="dxa"/>
              <w:bottom w:w="0" w:type="dxa"/>
              <w:right w:w="11" w:type="dxa"/>
            </w:tcMar>
          </w:tcPr>
          <w:p>
            <w:pPr>
              <w:rPr>
                <w:sz w:val="18"/>
                <w:szCs w:val="18"/>
              </w:rPr>
            </w:pPr>
            <w:r>
              <w:rPr>
                <w:sz w:val="18"/>
                <w:szCs w:val="18"/>
              </w:rPr>
              <w:t xml:space="preserve">-0.165 </w:t>
            </w:r>
          </w:p>
        </w:tc>
        <w:tc>
          <w:tcPr>
            <w:tcW w:w="1399" w:type="dxa"/>
            <w:tcBorders>
              <w:top w:val="single" w:color="000000" w:sz="8" w:space="0"/>
              <w:left w:val="nil"/>
              <w:bottom w:val="single" w:color="000000" w:sz="8" w:space="0"/>
              <w:right w:val="nil"/>
            </w:tcBorders>
            <w:shd w:val="clear" w:color="auto" w:fill="FFFFFF"/>
            <w:tcMar>
              <w:top w:w="11" w:type="dxa"/>
              <w:left w:w="11" w:type="dxa"/>
              <w:bottom w:w="0" w:type="dxa"/>
              <w:right w:w="11" w:type="dxa"/>
            </w:tcMar>
          </w:tcPr>
          <w:p>
            <w:pPr>
              <w:rPr>
                <w:sz w:val="18"/>
                <w:szCs w:val="18"/>
              </w:rPr>
            </w:pPr>
            <w:r>
              <w:rPr>
                <w:sz w:val="18"/>
                <w:szCs w:val="18"/>
              </w:rPr>
              <w:t xml:space="preserve">0.190 </w:t>
            </w:r>
          </w:p>
        </w:tc>
        <w:tc>
          <w:tcPr>
            <w:tcW w:w="1106" w:type="dxa"/>
            <w:tcBorders>
              <w:top w:val="single" w:color="000000" w:sz="8" w:space="0"/>
              <w:left w:val="nil"/>
              <w:bottom w:val="single" w:color="000000" w:sz="8" w:space="0"/>
              <w:right w:val="nil"/>
            </w:tcBorders>
            <w:shd w:val="clear" w:color="auto" w:fill="FFFFFF"/>
            <w:tcMar>
              <w:top w:w="11" w:type="dxa"/>
              <w:left w:w="11" w:type="dxa"/>
              <w:bottom w:w="0" w:type="dxa"/>
              <w:right w:w="11" w:type="dxa"/>
            </w:tcMar>
          </w:tcPr>
          <w:p>
            <w:pPr>
              <w:rPr>
                <w:sz w:val="18"/>
                <w:szCs w:val="18"/>
              </w:rPr>
            </w:pPr>
            <w:r>
              <w:rPr>
                <w:sz w:val="18"/>
                <w:szCs w:val="18"/>
              </w:rPr>
              <w:t xml:space="preserve">0.355 </w:t>
            </w:r>
          </w:p>
        </w:tc>
        <w:tc>
          <w:tcPr>
            <w:tcW w:w="1037" w:type="dxa"/>
            <w:tcBorders>
              <w:top w:val="single" w:color="000000" w:sz="8" w:space="0"/>
              <w:left w:val="nil"/>
              <w:bottom w:val="single" w:color="000000" w:sz="8" w:space="0"/>
              <w:right w:val="nil"/>
            </w:tcBorders>
            <w:shd w:val="clear" w:color="auto" w:fill="FFFFFF"/>
            <w:tcMar>
              <w:top w:w="11" w:type="dxa"/>
              <w:left w:w="11" w:type="dxa"/>
              <w:bottom w:w="0" w:type="dxa"/>
              <w:right w:w="11" w:type="dxa"/>
            </w:tcMar>
          </w:tcPr>
          <w:p>
            <w:pPr>
              <w:rPr>
                <w:sz w:val="18"/>
                <w:szCs w:val="18"/>
              </w:rPr>
            </w:pPr>
            <w:r>
              <w:rPr>
                <w:sz w:val="18"/>
                <w:szCs w:val="18"/>
              </w:rPr>
              <w:t xml:space="preserve">2.134 </w:t>
            </w:r>
          </w:p>
        </w:tc>
        <w:tc>
          <w:tcPr>
            <w:tcW w:w="1090" w:type="dxa"/>
            <w:tcBorders>
              <w:top w:val="single" w:color="000000" w:sz="8" w:space="0"/>
              <w:left w:val="nil"/>
              <w:bottom w:val="single" w:color="000000" w:sz="8" w:space="0"/>
              <w:right w:val="nil"/>
            </w:tcBorders>
            <w:shd w:val="clear" w:color="auto" w:fill="FFFFFF"/>
            <w:tcMar>
              <w:top w:w="11" w:type="dxa"/>
              <w:left w:w="11" w:type="dxa"/>
              <w:bottom w:w="0" w:type="dxa"/>
              <w:right w:w="11" w:type="dxa"/>
            </w:tcMar>
          </w:tcPr>
          <w:p>
            <w:pPr>
              <w:rPr>
                <w:sz w:val="18"/>
                <w:szCs w:val="18"/>
              </w:rPr>
            </w:pPr>
            <w:r>
              <w:rPr>
                <w:sz w:val="18"/>
                <w:szCs w:val="18"/>
              </w:rPr>
              <w:t xml:space="preserve">3.335 </w:t>
            </w:r>
          </w:p>
        </w:tc>
        <w:tc>
          <w:tcPr>
            <w:tcW w:w="1134" w:type="dxa"/>
            <w:tcBorders>
              <w:top w:val="single" w:color="000000" w:sz="8" w:space="0"/>
              <w:left w:val="nil"/>
              <w:bottom w:val="single" w:color="000000" w:sz="8" w:space="0"/>
              <w:right w:val="nil"/>
            </w:tcBorders>
            <w:shd w:val="clear" w:color="auto" w:fill="FFFFFF"/>
            <w:tcMar>
              <w:top w:w="11" w:type="dxa"/>
              <w:left w:w="11" w:type="dxa"/>
              <w:bottom w:w="0" w:type="dxa"/>
              <w:right w:w="11" w:type="dxa"/>
            </w:tcMar>
          </w:tcPr>
          <w:p>
            <w:pPr>
              <w:rPr>
                <w:sz w:val="18"/>
                <w:szCs w:val="18"/>
              </w:rPr>
            </w:pPr>
            <w:r>
              <w:rPr>
                <w:sz w:val="18"/>
                <w:szCs w:val="18"/>
              </w:rPr>
              <w:t xml:space="preserve">5.469 </w:t>
            </w:r>
          </w:p>
        </w:tc>
      </w:tr>
      <w:tr>
        <w:tblPrEx>
          <w:tblCellMar>
            <w:top w:w="0" w:type="dxa"/>
            <w:left w:w="0" w:type="dxa"/>
            <w:bottom w:w="0" w:type="dxa"/>
            <w:right w:w="0" w:type="dxa"/>
          </w:tblCellMar>
        </w:tblPrEx>
        <w:trPr>
          <w:trHeight w:val="381" w:hRule="atLeast"/>
          <w:jc w:val="center"/>
        </w:trPr>
        <w:tc>
          <w:tcPr>
            <w:tcW w:w="567" w:type="dxa"/>
            <w:tcBorders>
              <w:top w:val="single" w:color="000000" w:sz="8" w:space="0"/>
              <w:left w:val="nil"/>
              <w:bottom w:val="single" w:color="000000" w:sz="8" w:space="0"/>
              <w:right w:val="nil"/>
            </w:tcBorders>
            <w:shd w:val="clear" w:color="auto" w:fill="FFFFFF"/>
          </w:tcPr>
          <w:p>
            <w:pPr>
              <w:rPr>
                <w:sz w:val="18"/>
                <w:szCs w:val="18"/>
              </w:rPr>
            </w:pPr>
            <w:r>
              <w:rPr>
                <w:rFonts w:hint="eastAsia"/>
                <w:sz w:val="18"/>
                <w:szCs w:val="18"/>
              </w:rPr>
              <w:t>(3)</w:t>
            </w:r>
          </w:p>
        </w:tc>
        <w:tc>
          <w:tcPr>
            <w:tcW w:w="2627" w:type="dxa"/>
            <w:tcBorders>
              <w:top w:val="single" w:color="000000" w:sz="8" w:space="0"/>
              <w:left w:val="nil"/>
              <w:bottom w:val="single" w:color="000000" w:sz="8" w:space="0"/>
              <w:right w:val="nil"/>
            </w:tcBorders>
            <w:shd w:val="clear" w:color="auto" w:fill="FFFFFF"/>
            <w:tcMar>
              <w:top w:w="11" w:type="dxa"/>
              <w:left w:w="11" w:type="dxa"/>
              <w:bottom w:w="0" w:type="dxa"/>
              <w:right w:w="11" w:type="dxa"/>
            </w:tcMar>
            <w:vAlign w:val="center"/>
          </w:tcPr>
          <w:p>
            <w:pPr>
              <w:rPr>
                <w:sz w:val="18"/>
                <w:szCs w:val="18"/>
              </w:rPr>
            </w:pPr>
            <w:r>
              <w:rPr>
                <w:sz w:val="18"/>
                <w:szCs w:val="18"/>
              </w:rPr>
              <w:t>4-Fluoroaniline</w:t>
            </w:r>
          </w:p>
        </w:tc>
        <w:tc>
          <w:tcPr>
            <w:tcW w:w="1201" w:type="dxa"/>
            <w:tcBorders>
              <w:top w:val="single" w:color="000000" w:sz="8" w:space="0"/>
              <w:left w:val="nil"/>
              <w:bottom w:val="single" w:color="000000" w:sz="8" w:space="0"/>
              <w:right w:val="nil"/>
            </w:tcBorders>
            <w:shd w:val="clear" w:color="auto" w:fill="FFFFFF"/>
            <w:tcMar>
              <w:top w:w="11" w:type="dxa"/>
              <w:left w:w="11" w:type="dxa"/>
              <w:bottom w:w="0" w:type="dxa"/>
              <w:right w:w="11" w:type="dxa"/>
            </w:tcMar>
          </w:tcPr>
          <w:p>
            <w:pPr>
              <w:rPr>
                <w:sz w:val="18"/>
                <w:szCs w:val="18"/>
              </w:rPr>
            </w:pPr>
            <w:r>
              <w:rPr>
                <w:sz w:val="18"/>
                <w:szCs w:val="18"/>
              </w:rPr>
              <w:t xml:space="preserve">-1.129 </w:t>
            </w:r>
          </w:p>
        </w:tc>
        <w:tc>
          <w:tcPr>
            <w:tcW w:w="1417" w:type="dxa"/>
            <w:tcBorders>
              <w:top w:val="single" w:color="000000" w:sz="8" w:space="0"/>
              <w:left w:val="nil"/>
              <w:bottom w:val="single" w:color="000000" w:sz="8" w:space="0"/>
              <w:right w:val="nil"/>
            </w:tcBorders>
            <w:shd w:val="clear" w:color="auto" w:fill="FFFFFF"/>
            <w:tcMar>
              <w:top w:w="11" w:type="dxa"/>
              <w:left w:w="11" w:type="dxa"/>
              <w:bottom w:w="0" w:type="dxa"/>
              <w:right w:w="11" w:type="dxa"/>
            </w:tcMar>
          </w:tcPr>
          <w:p>
            <w:pPr>
              <w:rPr>
                <w:sz w:val="18"/>
                <w:szCs w:val="18"/>
              </w:rPr>
            </w:pPr>
            <w:r>
              <w:rPr>
                <w:sz w:val="18"/>
                <w:szCs w:val="18"/>
              </w:rPr>
              <w:t xml:space="preserve">1.678 </w:t>
            </w:r>
          </w:p>
        </w:tc>
        <w:tc>
          <w:tcPr>
            <w:tcW w:w="1282" w:type="dxa"/>
            <w:tcBorders>
              <w:top w:val="single" w:color="000000" w:sz="8" w:space="0"/>
              <w:left w:val="nil"/>
              <w:bottom w:val="single" w:color="000000" w:sz="8" w:space="0"/>
              <w:right w:val="nil"/>
            </w:tcBorders>
            <w:shd w:val="clear" w:color="auto" w:fill="FFFFFF"/>
            <w:tcMar>
              <w:top w:w="11" w:type="dxa"/>
              <w:left w:w="11" w:type="dxa"/>
              <w:bottom w:w="0" w:type="dxa"/>
              <w:right w:w="11" w:type="dxa"/>
            </w:tcMar>
          </w:tcPr>
          <w:p>
            <w:pPr>
              <w:rPr>
                <w:sz w:val="18"/>
                <w:szCs w:val="18"/>
              </w:rPr>
            </w:pPr>
            <w:r>
              <w:rPr>
                <w:sz w:val="18"/>
                <w:szCs w:val="18"/>
              </w:rPr>
              <w:t xml:space="preserve">2.807 </w:t>
            </w:r>
          </w:p>
        </w:tc>
        <w:tc>
          <w:tcPr>
            <w:tcW w:w="1231" w:type="dxa"/>
            <w:tcBorders>
              <w:top w:val="single" w:color="000000" w:sz="8" w:space="0"/>
              <w:left w:val="nil"/>
              <w:bottom w:val="single" w:color="000000" w:sz="8" w:space="0"/>
              <w:right w:val="nil"/>
            </w:tcBorders>
            <w:shd w:val="clear" w:color="auto" w:fill="FFFFFF"/>
            <w:tcMar>
              <w:top w:w="11" w:type="dxa"/>
              <w:left w:w="11" w:type="dxa"/>
              <w:bottom w:w="0" w:type="dxa"/>
              <w:right w:w="11" w:type="dxa"/>
            </w:tcMar>
          </w:tcPr>
          <w:p>
            <w:pPr>
              <w:rPr>
                <w:sz w:val="18"/>
                <w:szCs w:val="18"/>
              </w:rPr>
            </w:pPr>
            <w:r>
              <w:rPr>
                <w:sz w:val="18"/>
                <w:szCs w:val="18"/>
              </w:rPr>
              <w:t xml:space="preserve">-0.330 </w:t>
            </w:r>
          </w:p>
        </w:tc>
        <w:tc>
          <w:tcPr>
            <w:tcW w:w="1399" w:type="dxa"/>
            <w:tcBorders>
              <w:top w:val="single" w:color="000000" w:sz="8" w:space="0"/>
              <w:left w:val="nil"/>
              <w:bottom w:val="single" w:color="000000" w:sz="8" w:space="0"/>
              <w:right w:val="nil"/>
            </w:tcBorders>
            <w:shd w:val="clear" w:color="auto" w:fill="FFFFFF"/>
            <w:tcMar>
              <w:top w:w="11" w:type="dxa"/>
              <w:left w:w="11" w:type="dxa"/>
              <w:bottom w:w="0" w:type="dxa"/>
              <w:right w:w="11" w:type="dxa"/>
            </w:tcMar>
          </w:tcPr>
          <w:p>
            <w:pPr>
              <w:rPr>
                <w:sz w:val="18"/>
                <w:szCs w:val="18"/>
              </w:rPr>
            </w:pPr>
            <w:r>
              <w:rPr>
                <w:sz w:val="18"/>
                <w:szCs w:val="18"/>
              </w:rPr>
              <w:t xml:space="preserve">0.145 </w:t>
            </w:r>
          </w:p>
        </w:tc>
        <w:tc>
          <w:tcPr>
            <w:tcW w:w="1106" w:type="dxa"/>
            <w:tcBorders>
              <w:top w:val="single" w:color="000000" w:sz="8" w:space="0"/>
              <w:left w:val="nil"/>
              <w:bottom w:val="single" w:color="000000" w:sz="8" w:space="0"/>
              <w:right w:val="nil"/>
            </w:tcBorders>
            <w:shd w:val="clear" w:color="auto" w:fill="FFFFFF"/>
            <w:tcMar>
              <w:top w:w="11" w:type="dxa"/>
              <w:left w:w="11" w:type="dxa"/>
              <w:bottom w:w="0" w:type="dxa"/>
              <w:right w:w="11" w:type="dxa"/>
            </w:tcMar>
          </w:tcPr>
          <w:p>
            <w:pPr>
              <w:rPr>
                <w:sz w:val="18"/>
                <w:szCs w:val="18"/>
              </w:rPr>
            </w:pPr>
            <w:r>
              <w:rPr>
                <w:sz w:val="18"/>
                <w:szCs w:val="18"/>
              </w:rPr>
              <w:t xml:space="preserve">0.474 </w:t>
            </w:r>
          </w:p>
        </w:tc>
        <w:tc>
          <w:tcPr>
            <w:tcW w:w="1037" w:type="dxa"/>
            <w:tcBorders>
              <w:top w:val="single" w:color="000000" w:sz="8" w:space="0"/>
              <w:left w:val="nil"/>
              <w:bottom w:val="single" w:color="000000" w:sz="8" w:space="0"/>
              <w:right w:val="nil"/>
            </w:tcBorders>
            <w:shd w:val="clear" w:color="auto" w:fill="FFFFFF"/>
            <w:tcMar>
              <w:top w:w="11" w:type="dxa"/>
              <w:left w:w="11" w:type="dxa"/>
              <w:bottom w:w="0" w:type="dxa"/>
              <w:right w:w="11" w:type="dxa"/>
            </w:tcMar>
          </w:tcPr>
          <w:p>
            <w:pPr>
              <w:rPr>
                <w:sz w:val="18"/>
                <w:szCs w:val="18"/>
              </w:rPr>
            </w:pPr>
            <w:r>
              <w:rPr>
                <w:sz w:val="18"/>
                <w:szCs w:val="18"/>
              </w:rPr>
              <w:t xml:space="preserve">1.770 </w:t>
            </w:r>
          </w:p>
        </w:tc>
        <w:tc>
          <w:tcPr>
            <w:tcW w:w="1090" w:type="dxa"/>
            <w:tcBorders>
              <w:top w:val="single" w:color="000000" w:sz="8" w:space="0"/>
              <w:left w:val="nil"/>
              <w:bottom w:val="single" w:color="000000" w:sz="8" w:space="0"/>
              <w:right w:val="nil"/>
            </w:tcBorders>
            <w:shd w:val="clear" w:color="auto" w:fill="FFFFFF"/>
            <w:tcMar>
              <w:top w:w="11" w:type="dxa"/>
              <w:left w:w="11" w:type="dxa"/>
              <w:bottom w:w="0" w:type="dxa"/>
              <w:right w:w="11" w:type="dxa"/>
            </w:tcMar>
          </w:tcPr>
          <w:p>
            <w:pPr>
              <w:rPr>
                <w:sz w:val="18"/>
                <w:szCs w:val="18"/>
              </w:rPr>
            </w:pPr>
            <w:r>
              <w:rPr>
                <w:sz w:val="18"/>
                <w:szCs w:val="18"/>
              </w:rPr>
              <w:t xml:space="preserve">3.969 </w:t>
            </w:r>
          </w:p>
        </w:tc>
        <w:tc>
          <w:tcPr>
            <w:tcW w:w="1134" w:type="dxa"/>
            <w:tcBorders>
              <w:top w:val="single" w:color="000000" w:sz="8" w:space="0"/>
              <w:left w:val="nil"/>
              <w:bottom w:val="single" w:color="000000" w:sz="8" w:space="0"/>
              <w:right w:val="nil"/>
            </w:tcBorders>
            <w:shd w:val="clear" w:color="auto" w:fill="FFFFFF"/>
            <w:tcMar>
              <w:top w:w="11" w:type="dxa"/>
              <w:left w:w="11" w:type="dxa"/>
              <w:bottom w:w="0" w:type="dxa"/>
              <w:right w:w="11" w:type="dxa"/>
            </w:tcMar>
          </w:tcPr>
          <w:p>
            <w:pPr>
              <w:rPr>
                <w:sz w:val="18"/>
                <w:szCs w:val="18"/>
              </w:rPr>
            </w:pPr>
            <w:r>
              <w:rPr>
                <w:sz w:val="18"/>
                <w:szCs w:val="18"/>
              </w:rPr>
              <w:t xml:space="preserve">5.739 </w:t>
            </w:r>
          </w:p>
        </w:tc>
      </w:tr>
      <w:tr>
        <w:tblPrEx>
          <w:tblCellMar>
            <w:top w:w="0" w:type="dxa"/>
            <w:left w:w="0" w:type="dxa"/>
            <w:bottom w:w="0" w:type="dxa"/>
            <w:right w:w="0" w:type="dxa"/>
          </w:tblCellMar>
        </w:tblPrEx>
        <w:trPr>
          <w:trHeight w:val="381" w:hRule="atLeast"/>
          <w:jc w:val="center"/>
        </w:trPr>
        <w:tc>
          <w:tcPr>
            <w:tcW w:w="567" w:type="dxa"/>
            <w:tcBorders>
              <w:top w:val="single" w:color="000000" w:sz="8" w:space="0"/>
              <w:left w:val="nil"/>
              <w:bottom w:val="single" w:color="000000" w:sz="8" w:space="0"/>
              <w:right w:val="nil"/>
            </w:tcBorders>
            <w:shd w:val="clear" w:color="auto" w:fill="FFFFFF"/>
          </w:tcPr>
          <w:p>
            <w:pPr>
              <w:rPr>
                <w:sz w:val="18"/>
                <w:szCs w:val="18"/>
              </w:rPr>
            </w:pPr>
            <w:r>
              <w:rPr>
                <w:rFonts w:hint="eastAsia"/>
                <w:sz w:val="18"/>
                <w:szCs w:val="18"/>
              </w:rPr>
              <w:t>(4)</w:t>
            </w:r>
          </w:p>
        </w:tc>
        <w:tc>
          <w:tcPr>
            <w:tcW w:w="2627" w:type="dxa"/>
            <w:tcBorders>
              <w:top w:val="single" w:color="000000" w:sz="8" w:space="0"/>
              <w:left w:val="nil"/>
              <w:bottom w:val="single" w:color="000000" w:sz="8" w:space="0"/>
              <w:right w:val="nil"/>
            </w:tcBorders>
            <w:shd w:val="clear" w:color="auto" w:fill="FFFFFF"/>
            <w:tcMar>
              <w:top w:w="11" w:type="dxa"/>
              <w:left w:w="11" w:type="dxa"/>
              <w:bottom w:w="0" w:type="dxa"/>
              <w:right w:w="11" w:type="dxa"/>
            </w:tcMar>
            <w:vAlign w:val="center"/>
          </w:tcPr>
          <w:p>
            <w:pPr>
              <w:rPr>
                <w:sz w:val="18"/>
                <w:szCs w:val="18"/>
              </w:rPr>
            </w:pPr>
            <w:r>
              <w:rPr>
                <w:sz w:val="18"/>
                <w:szCs w:val="18"/>
              </w:rPr>
              <w:t>4-(trifluoromethyl)aniline</w:t>
            </w:r>
          </w:p>
        </w:tc>
        <w:tc>
          <w:tcPr>
            <w:tcW w:w="1201" w:type="dxa"/>
            <w:tcBorders>
              <w:top w:val="single" w:color="000000" w:sz="8" w:space="0"/>
              <w:left w:val="nil"/>
              <w:bottom w:val="single" w:color="000000" w:sz="8" w:space="0"/>
              <w:right w:val="nil"/>
            </w:tcBorders>
            <w:shd w:val="clear" w:color="auto" w:fill="FFFFFF"/>
            <w:tcMar>
              <w:top w:w="11" w:type="dxa"/>
              <w:left w:w="11" w:type="dxa"/>
              <w:bottom w:w="0" w:type="dxa"/>
              <w:right w:w="11" w:type="dxa"/>
            </w:tcMar>
          </w:tcPr>
          <w:p>
            <w:pPr>
              <w:rPr>
                <w:sz w:val="18"/>
                <w:szCs w:val="18"/>
              </w:rPr>
            </w:pPr>
            <w:r>
              <w:rPr>
                <w:sz w:val="18"/>
                <w:szCs w:val="18"/>
              </w:rPr>
              <w:t xml:space="preserve">-0.844 </w:t>
            </w:r>
          </w:p>
        </w:tc>
        <w:tc>
          <w:tcPr>
            <w:tcW w:w="1417" w:type="dxa"/>
            <w:tcBorders>
              <w:top w:val="single" w:color="000000" w:sz="8" w:space="0"/>
              <w:left w:val="nil"/>
              <w:bottom w:val="single" w:color="000000" w:sz="8" w:space="0"/>
              <w:right w:val="nil"/>
            </w:tcBorders>
            <w:shd w:val="clear" w:color="auto" w:fill="FFFFFF"/>
            <w:tcMar>
              <w:top w:w="11" w:type="dxa"/>
              <w:left w:w="11" w:type="dxa"/>
              <w:bottom w:w="0" w:type="dxa"/>
              <w:right w:w="11" w:type="dxa"/>
            </w:tcMar>
          </w:tcPr>
          <w:p>
            <w:pPr>
              <w:rPr>
                <w:sz w:val="18"/>
                <w:szCs w:val="18"/>
              </w:rPr>
            </w:pPr>
            <w:r>
              <w:rPr>
                <w:sz w:val="18"/>
                <w:szCs w:val="18"/>
              </w:rPr>
              <w:t xml:space="preserve">1.923 </w:t>
            </w:r>
          </w:p>
        </w:tc>
        <w:tc>
          <w:tcPr>
            <w:tcW w:w="1282" w:type="dxa"/>
            <w:tcBorders>
              <w:top w:val="single" w:color="000000" w:sz="8" w:space="0"/>
              <w:left w:val="nil"/>
              <w:bottom w:val="single" w:color="000000" w:sz="8" w:space="0"/>
              <w:right w:val="nil"/>
            </w:tcBorders>
            <w:shd w:val="clear" w:color="auto" w:fill="FFFFFF"/>
            <w:tcMar>
              <w:top w:w="11" w:type="dxa"/>
              <w:left w:w="11" w:type="dxa"/>
              <w:bottom w:w="0" w:type="dxa"/>
              <w:right w:w="11" w:type="dxa"/>
            </w:tcMar>
          </w:tcPr>
          <w:p>
            <w:pPr>
              <w:rPr>
                <w:sz w:val="18"/>
                <w:szCs w:val="18"/>
              </w:rPr>
            </w:pPr>
            <w:r>
              <w:rPr>
                <w:sz w:val="18"/>
                <w:szCs w:val="18"/>
              </w:rPr>
              <w:t xml:space="preserve">2.768 </w:t>
            </w:r>
          </w:p>
        </w:tc>
        <w:tc>
          <w:tcPr>
            <w:tcW w:w="1231" w:type="dxa"/>
            <w:tcBorders>
              <w:top w:val="single" w:color="000000" w:sz="8" w:space="0"/>
              <w:left w:val="nil"/>
              <w:bottom w:val="single" w:color="000000" w:sz="8" w:space="0"/>
              <w:right w:val="nil"/>
            </w:tcBorders>
            <w:shd w:val="clear" w:color="auto" w:fill="FFFFFF"/>
            <w:tcMar>
              <w:top w:w="11" w:type="dxa"/>
              <w:left w:w="11" w:type="dxa"/>
              <w:bottom w:w="0" w:type="dxa"/>
              <w:right w:w="11" w:type="dxa"/>
            </w:tcMar>
          </w:tcPr>
          <w:p>
            <w:pPr>
              <w:rPr>
                <w:sz w:val="18"/>
                <w:szCs w:val="18"/>
              </w:rPr>
            </w:pPr>
            <w:r>
              <w:rPr>
                <w:sz w:val="18"/>
                <w:szCs w:val="18"/>
              </w:rPr>
              <w:t xml:space="preserve">-0.313 </w:t>
            </w:r>
          </w:p>
        </w:tc>
        <w:tc>
          <w:tcPr>
            <w:tcW w:w="1399" w:type="dxa"/>
            <w:tcBorders>
              <w:top w:val="single" w:color="000000" w:sz="8" w:space="0"/>
              <w:left w:val="nil"/>
              <w:bottom w:val="single" w:color="000000" w:sz="8" w:space="0"/>
              <w:right w:val="nil"/>
            </w:tcBorders>
            <w:shd w:val="clear" w:color="auto" w:fill="FFFFFF"/>
            <w:tcMar>
              <w:top w:w="11" w:type="dxa"/>
              <w:left w:w="11" w:type="dxa"/>
              <w:bottom w:w="0" w:type="dxa"/>
              <w:right w:w="11" w:type="dxa"/>
            </w:tcMar>
          </w:tcPr>
          <w:p>
            <w:pPr>
              <w:rPr>
                <w:sz w:val="18"/>
                <w:szCs w:val="18"/>
              </w:rPr>
            </w:pPr>
            <w:r>
              <w:rPr>
                <w:sz w:val="18"/>
                <w:szCs w:val="18"/>
              </w:rPr>
              <w:t xml:space="preserve">0.142 </w:t>
            </w:r>
          </w:p>
        </w:tc>
        <w:tc>
          <w:tcPr>
            <w:tcW w:w="1106" w:type="dxa"/>
            <w:tcBorders>
              <w:top w:val="single" w:color="000000" w:sz="8" w:space="0"/>
              <w:left w:val="nil"/>
              <w:bottom w:val="single" w:color="000000" w:sz="8" w:space="0"/>
              <w:right w:val="nil"/>
            </w:tcBorders>
            <w:shd w:val="clear" w:color="auto" w:fill="FFFFFF"/>
            <w:tcMar>
              <w:top w:w="11" w:type="dxa"/>
              <w:left w:w="11" w:type="dxa"/>
              <w:bottom w:w="0" w:type="dxa"/>
              <w:right w:w="11" w:type="dxa"/>
            </w:tcMar>
          </w:tcPr>
          <w:p>
            <w:pPr>
              <w:rPr>
                <w:sz w:val="18"/>
                <w:szCs w:val="18"/>
              </w:rPr>
            </w:pPr>
            <w:r>
              <w:rPr>
                <w:sz w:val="18"/>
                <w:szCs w:val="18"/>
              </w:rPr>
              <w:t xml:space="preserve">0.455 </w:t>
            </w:r>
          </w:p>
        </w:tc>
        <w:tc>
          <w:tcPr>
            <w:tcW w:w="1037" w:type="dxa"/>
            <w:tcBorders>
              <w:top w:val="single" w:color="000000" w:sz="8" w:space="0"/>
              <w:left w:val="nil"/>
              <w:bottom w:val="single" w:color="000000" w:sz="8" w:space="0"/>
              <w:right w:val="nil"/>
            </w:tcBorders>
            <w:shd w:val="clear" w:color="auto" w:fill="FFFFFF"/>
            <w:tcMar>
              <w:top w:w="11" w:type="dxa"/>
              <w:left w:w="11" w:type="dxa"/>
              <w:bottom w:w="0" w:type="dxa"/>
              <w:right w:w="11" w:type="dxa"/>
            </w:tcMar>
          </w:tcPr>
          <w:p>
            <w:pPr>
              <w:rPr>
                <w:sz w:val="18"/>
                <w:szCs w:val="18"/>
              </w:rPr>
            </w:pPr>
            <w:r>
              <w:rPr>
                <w:sz w:val="18"/>
                <w:szCs w:val="18"/>
              </w:rPr>
              <w:t xml:space="preserve">1.206 </w:t>
            </w:r>
          </w:p>
        </w:tc>
        <w:tc>
          <w:tcPr>
            <w:tcW w:w="1090" w:type="dxa"/>
            <w:tcBorders>
              <w:top w:val="single" w:color="000000" w:sz="8" w:space="0"/>
              <w:left w:val="nil"/>
              <w:bottom w:val="single" w:color="000000" w:sz="8" w:space="0"/>
              <w:right w:val="nil"/>
            </w:tcBorders>
            <w:shd w:val="clear" w:color="auto" w:fill="FFFFFF"/>
            <w:tcMar>
              <w:top w:w="11" w:type="dxa"/>
              <w:left w:w="11" w:type="dxa"/>
              <w:bottom w:w="0" w:type="dxa"/>
              <w:right w:w="11" w:type="dxa"/>
            </w:tcMar>
          </w:tcPr>
          <w:p>
            <w:pPr>
              <w:rPr>
                <w:sz w:val="18"/>
                <w:szCs w:val="18"/>
              </w:rPr>
            </w:pPr>
            <w:r>
              <w:rPr>
                <w:sz w:val="18"/>
                <w:szCs w:val="18"/>
              </w:rPr>
              <w:t xml:space="preserve">5.408 </w:t>
            </w:r>
          </w:p>
        </w:tc>
        <w:tc>
          <w:tcPr>
            <w:tcW w:w="1134" w:type="dxa"/>
            <w:tcBorders>
              <w:top w:val="single" w:color="000000" w:sz="8" w:space="0"/>
              <w:left w:val="nil"/>
              <w:bottom w:val="single" w:color="000000" w:sz="8" w:space="0"/>
              <w:right w:val="nil"/>
            </w:tcBorders>
            <w:shd w:val="clear" w:color="auto" w:fill="FFFFFF"/>
            <w:tcMar>
              <w:top w:w="11" w:type="dxa"/>
              <w:left w:w="11" w:type="dxa"/>
              <w:bottom w:w="0" w:type="dxa"/>
              <w:right w:w="11" w:type="dxa"/>
            </w:tcMar>
          </w:tcPr>
          <w:p>
            <w:pPr>
              <w:rPr>
                <w:sz w:val="18"/>
                <w:szCs w:val="18"/>
              </w:rPr>
            </w:pPr>
            <w:r>
              <w:rPr>
                <w:sz w:val="18"/>
                <w:szCs w:val="18"/>
              </w:rPr>
              <w:t xml:space="preserve">6.614 </w:t>
            </w:r>
          </w:p>
        </w:tc>
      </w:tr>
      <w:tr>
        <w:tblPrEx>
          <w:tblCellMar>
            <w:top w:w="0" w:type="dxa"/>
            <w:left w:w="0" w:type="dxa"/>
            <w:bottom w:w="0" w:type="dxa"/>
            <w:right w:w="0" w:type="dxa"/>
          </w:tblCellMar>
        </w:tblPrEx>
        <w:trPr>
          <w:trHeight w:val="381" w:hRule="atLeast"/>
          <w:jc w:val="center"/>
        </w:trPr>
        <w:tc>
          <w:tcPr>
            <w:tcW w:w="567" w:type="dxa"/>
            <w:tcBorders>
              <w:top w:val="single" w:color="000000" w:sz="8" w:space="0"/>
              <w:left w:val="nil"/>
              <w:bottom w:val="single" w:color="000000" w:sz="8" w:space="0"/>
              <w:right w:val="nil"/>
            </w:tcBorders>
            <w:shd w:val="clear" w:color="auto" w:fill="FFFFFF"/>
          </w:tcPr>
          <w:p>
            <w:pPr>
              <w:rPr>
                <w:sz w:val="18"/>
                <w:szCs w:val="18"/>
              </w:rPr>
            </w:pPr>
            <w:r>
              <w:rPr>
                <w:rFonts w:hint="eastAsia"/>
                <w:sz w:val="18"/>
                <w:szCs w:val="18"/>
              </w:rPr>
              <w:t>(5)</w:t>
            </w:r>
          </w:p>
        </w:tc>
        <w:tc>
          <w:tcPr>
            <w:tcW w:w="2627" w:type="dxa"/>
            <w:tcBorders>
              <w:top w:val="single" w:color="000000" w:sz="8" w:space="0"/>
              <w:left w:val="nil"/>
              <w:bottom w:val="single" w:color="000000" w:sz="8" w:space="0"/>
              <w:right w:val="nil"/>
            </w:tcBorders>
            <w:shd w:val="clear" w:color="auto" w:fill="FFFFFF"/>
            <w:tcMar>
              <w:top w:w="11" w:type="dxa"/>
              <w:left w:w="11" w:type="dxa"/>
              <w:bottom w:w="0" w:type="dxa"/>
              <w:right w:w="11" w:type="dxa"/>
            </w:tcMar>
            <w:vAlign w:val="center"/>
          </w:tcPr>
          <w:p>
            <w:pPr>
              <w:rPr>
                <w:sz w:val="18"/>
                <w:szCs w:val="18"/>
              </w:rPr>
            </w:pPr>
            <w:r>
              <w:rPr>
                <w:sz w:val="18"/>
                <w:szCs w:val="18"/>
              </w:rPr>
              <w:t>N-methylaniline</w:t>
            </w:r>
          </w:p>
        </w:tc>
        <w:tc>
          <w:tcPr>
            <w:tcW w:w="1201" w:type="dxa"/>
            <w:tcBorders>
              <w:top w:val="single" w:color="000000" w:sz="8" w:space="0"/>
              <w:left w:val="nil"/>
              <w:bottom w:val="single" w:color="000000" w:sz="8" w:space="0"/>
              <w:right w:val="nil"/>
            </w:tcBorders>
            <w:shd w:val="clear" w:color="auto" w:fill="FFFFFF"/>
            <w:tcMar>
              <w:top w:w="11" w:type="dxa"/>
              <w:left w:w="11" w:type="dxa"/>
              <w:bottom w:w="0" w:type="dxa"/>
              <w:right w:w="11" w:type="dxa"/>
            </w:tcMar>
          </w:tcPr>
          <w:p>
            <w:pPr>
              <w:rPr>
                <w:sz w:val="18"/>
                <w:szCs w:val="18"/>
              </w:rPr>
            </w:pPr>
            <w:r>
              <w:rPr>
                <w:sz w:val="18"/>
                <w:szCs w:val="18"/>
              </w:rPr>
              <w:t xml:space="preserve">-1.030 </w:t>
            </w:r>
          </w:p>
        </w:tc>
        <w:tc>
          <w:tcPr>
            <w:tcW w:w="1417" w:type="dxa"/>
            <w:tcBorders>
              <w:top w:val="single" w:color="000000" w:sz="8" w:space="0"/>
              <w:left w:val="nil"/>
              <w:bottom w:val="single" w:color="000000" w:sz="8" w:space="0"/>
              <w:right w:val="nil"/>
            </w:tcBorders>
            <w:shd w:val="clear" w:color="auto" w:fill="FFFFFF"/>
            <w:tcMar>
              <w:top w:w="11" w:type="dxa"/>
              <w:left w:w="11" w:type="dxa"/>
              <w:bottom w:w="0" w:type="dxa"/>
              <w:right w:w="11" w:type="dxa"/>
            </w:tcMar>
          </w:tcPr>
          <w:p>
            <w:pPr>
              <w:rPr>
                <w:sz w:val="18"/>
                <w:szCs w:val="18"/>
              </w:rPr>
            </w:pPr>
            <w:r>
              <w:rPr>
                <w:sz w:val="18"/>
                <w:szCs w:val="18"/>
              </w:rPr>
              <w:t xml:space="preserve">1.555 </w:t>
            </w:r>
          </w:p>
        </w:tc>
        <w:tc>
          <w:tcPr>
            <w:tcW w:w="1282" w:type="dxa"/>
            <w:tcBorders>
              <w:top w:val="single" w:color="000000" w:sz="8" w:space="0"/>
              <w:left w:val="nil"/>
              <w:bottom w:val="single" w:color="000000" w:sz="8" w:space="0"/>
              <w:right w:val="nil"/>
            </w:tcBorders>
            <w:shd w:val="clear" w:color="auto" w:fill="FFFFFF"/>
            <w:tcMar>
              <w:top w:w="11" w:type="dxa"/>
              <w:left w:w="11" w:type="dxa"/>
              <w:bottom w:w="0" w:type="dxa"/>
              <w:right w:w="11" w:type="dxa"/>
            </w:tcMar>
          </w:tcPr>
          <w:p>
            <w:pPr>
              <w:rPr>
                <w:sz w:val="18"/>
                <w:szCs w:val="18"/>
              </w:rPr>
            </w:pPr>
            <w:r>
              <w:rPr>
                <w:sz w:val="18"/>
                <w:szCs w:val="18"/>
              </w:rPr>
              <w:t xml:space="preserve">2.585 </w:t>
            </w:r>
          </w:p>
        </w:tc>
        <w:tc>
          <w:tcPr>
            <w:tcW w:w="1231" w:type="dxa"/>
            <w:tcBorders>
              <w:top w:val="single" w:color="000000" w:sz="8" w:space="0"/>
              <w:left w:val="nil"/>
              <w:bottom w:val="single" w:color="000000" w:sz="8" w:space="0"/>
              <w:right w:val="nil"/>
            </w:tcBorders>
            <w:shd w:val="clear" w:color="auto" w:fill="FFFFFF"/>
            <w:tcMar>
              <w:top w:w="11" w:type="dxa"/>
              <w:left w:w="11" w:type="dxa"/>
              <w:bottom w:w="0" w:type="dxa"/>
              <w:right w:w="11" w:type="dxa"/>
            </w:tcMar>
          </w:tcPr>
          <w:p>
            <w:pPr>
              <w:rPr>
                <w:sz w:val="18"/>
                <w:szCs w:val="18"/>
              </w:rPr>
            </w:pPr>
            <w:r>
              <w:rPr>
                <w:sz w:val="18"/>
                <w:szCs w:val="18"/>
              </w:rPr>
              <w:t xml:space="preserve">-0.342 </w:t>
            </w:r>
          </w:p>
        </w:tc>
        <w:tc>
          <w:tcPr>
            <w:tcW w:w="1399" w:type="dxa"/>
            <w:tcBorders>
              <w:top w:val="single" w:color="000000" w:sz="8" w:space="0"/>
              <w:left w:val="nil"/>
              <w:bottom w:val="single" w:color="000000" w:sz="8" w:space="0"/>
              <w:right w:val="nil"/>
            </w:tcBorders>
            <w:shd w:val="clear" w:color="auto" w:fill="FFFFFF"/>
            <w:tcMar>
              <w:top w:w="11" w:type="dxa"/>
              <w:left w:w="11" w:type="dxa"/>
              <w:bottom w:w="0" w:type="dxa"/>
              <w:right w:w="11" w:type="dxa"/>
            </w:tcMar>
          </w:tcPr>
          <w:p>
            <w:pPr>
              <w:rPr>
                <w:sz w:val="18"/>
                <w:szCs w:val="18"/>
              </w:rPr>
            </w:pPr>
            <w:r>
              <w:rPr>
                <w:sz w:val="18"/>
                <w:szCs w:val="18"/>
              </w:rPr>
              <w:t xml:space="preserve">0.222 </w:t>
            </w:r>
          </w:p>
        </w:tc>
        <w:tc>
          <w:tcPr>
            <w:tcW w:w="1106" w:type="dxa"/>
            <w:tcBorders>
              <w:top w:val="single" w:color="000000" w:sz="8" w:space="0"/>
              <w:left w:val="nil"/>
              <w:bottom w:val="single" w:color="000000" w:sz="8" w:space="0"/>
              <w:right w:val="nil"/>
            </w:tcBorders>
            <w:shd w:val="clear" w:color="auto" w:fill="FFFFFF"/>
            <w:tcMar>
              <w:top w:w="11" w:type="dxa"/>
              <w:left w:w="11" w:type="dxa"/>
              <w:bottom w:w="0" w:type="dxa"/>
              <w:right w:w="11" w:type="dxa"/>
            </w:tcMar>
          </w:tcPr>
          <w:p>
            <w:pPr>
              <w:rPr>
                <w:sz w:val="18"/>
                <w:szCs w:val="18"/>
              </w:rPr>
            </w:pPr>
            <w:r>
              <w:rPr>
                <w:sz w:val="18"/>
                <w:szCs w:val="18"/>
              </w:rPr>
              <w:t xml:space="preserve">0.564 </w:t>
            </w:r>
          </w:p>
        </w:tc>
        <w:tc>
          <w:tcPr>
            <w:tcW w:w="1037" w:type="dxa"/>
            <w:tcBorders>
              <w:top w:val="single" w:color="000000" w:sz="8" w:space="0"/>
              <w:left w:val="nil"/>
              <w:bottom w:val="single" w:color="000000" w:sz="8" w:space="0"/>
              <w:right w:val="nil"/>
            </w:tcBorders>
            <w:shd w:val="clear" w:color="auto" w:fill="FFFFFF"/>
            <w:tcMar>
              <w:top w:w="11" w:type="dxa"/>
              <w:left w:w="11" w:type="dxa"/>
              <w:bottom w:w="0" w:type="dxa"/>
              <w:right w:w="11" w:type="dxa"/>
            </w:tcMar>
          </w:tcPr>
          <w:p>
            <w:pPr>
              <w:rPr>
                <w:sz w:val="18"/>
                <w:szCs w:val="18"/>
              </w:rPr>
            </w:pPr>
            <w:r>
              <w:rPr>
                <w:sz w:val="18"/>
                <w:szCs w:val="18"/>
              </w:rPr>
              <w:t xml:space="preserve">2.012 </w:t>
            </w:r>
          </w:p>
        </w:tc>
        <w:tc>
          <w:tcPr>
            <w:tcW w:w="1090" w:type="dxa"/>
            <w:tcBorders>
              <w:top w:val="single" w:color="000000" w:sz="8" w:space="0"/>
              <w:left w:val="nil"/>
              <w:bottom w:val="single" w:color="000000" w:sz="8" w:space="0"/>
              <w:right w:val="nil"/>
            </w:tcBorders>
            <w:shd w:val="clear" w:color="auto" w:fill="FFFFFF"/>
            <w:tcMar>
              <w:top w:w="11" w:type="dxa"/>
              <w:left w:w="11" w:type="dxa"/>
              <w:bottom w:w="0" w:type="dxa"/>
              <w:right w:w="11" w:type="dxa"/>
            </w:tcMar>
          </w:tcPr>
          <w:p>
            <w:pPr>
              <w:rPr>
                <w:sz w:val="18"/>
                <w:szCs w:val="18"/>
              </w:rPr>
            </w:pPr>
            <w:r>
              <w:rPr>
                <w:sz w:val="18"/>
                <w:szCs w:val="18"/>
              </w:rPr>
              <w:t xml:space="preserve">1.875 </w:t>
            </w:r>
          </w:p>
        </w:tc>
        <w:tc>
          <w:tcPr>
            <w:tcW w:w="1134" w:type="dxa"/>
            <w:tcBorders>
              <w:top w:val="single" w:color="000000" w:sz="8" w:space="0"/>
              <w:left w:val="nil"/>
              <w:bottom w:val="single" w:color="000000" w:sz="8" w:space="0"/>
              <w:right w:val="nil"/>
            </w:tcBorders>
            <w:shd w:val="clear" w:color="auto" w:fill="FFFFFF"/>
            <w:tcMar>
              <w:top w:w="11" w:type="dxa"/>
              <w:left w:w="11" w:type="dxa"/>
              <w:bottom w:w="0" w:type="dxa"/>
              <w:right w:w="11" w:type="dxa"/>
            </w:tcMar>
          </w:tcPr>
          <w:p>
            <w:pPr>
              <w:rPr>
                <w:sz w:val="18"/>
                <w:szCs w:val="18"/>
              </w:rPr>
            </w:pPr>
            <w:r>
              <w:rPr>
                <w:sz w:val="18"/>
                <w:szCs w:val="18"/>
              </w:rPr>
              <w:t xml:space="preserve">3.887 </w:t>
            </w:r>
          </w:p>
        </w:tc>
      </w:tr>
      <w:tr>
        <w:tblPrEx>
          <w:tblCellMar>
            <w:top w:w="0" w:type="dxa"/>
            <w:left w:w="0" w:type="dxa"/>
            <w:bottom w:w="0" w:type="dxa"/>
            <w:right w:w="0" w:type="dxa"/>
          </w:tblCellMar>
        </w:tblPrEx>
        <w:trPr>
          <w:trHeight w:val="381" w:hRule="atLeast"/>
          <w:jc w:val="center"/>
        </w:trPr>
        <w:tc>
          <w:tcPr>
            <w:tcW w:w="567" w:type="dxa"/>
            <w:tcBorders>
              <w:top w:val="single" w:color="000000" w:sz="8" w:space="0"/>
              <w:left w:val="nil"/>
              <w:bottom w:val="single" w:color="000000" w:sz="8" w:space="0"/>
              <w:right w:val="nil"/>
            </w:tcBorders>
            <w:shd w:val="clear" w:color="auto" w:fill="FFFFFF"/>
          </w:tcPr>
          <w:p>
            <w:pPr>
              <w:rPr>
                <w:sz w:val="18"/>
                <w:szCs w:val="18"/>
              </w:rPr>
            </w:pPr>
            <w:r>
              <w:rPr>
                <w:rFonts w:hint="eastAsia"/>
                <w:sz w:val="18"/>
                <w:szCs w:val="18"/>
              </w:rPr>
              <w:t>(6)</w:t>
            </w:r>
          </w:p>
        </w:tc>
        <w:tc>
          <w:tcPr>
            <w:tcW w:w="2627" w:type="dxa"/>
            <w:tcBorders>
              <w:top w:val="single" w:color="000000" w:sz="8" w:space="0"/>
              <w:left w:val="nil"/>
              <w:bottom w:val="single" w:color="000000" w:sz="8" w:space="0"/>
              <w:right w:val="nil"/>
            </w:tcBorders>
            <w:shd w:val="clear" w:color="auto" w:fill="FFFFFF"/>
            <w:tcMar>
              <w:top w:w="11" w:type="dxa"/>
              <w:left w:w="11" w:type="dxa"/>
              <w:bottom w:w="0" w:type="dxa"/>
              <w:right w:w="11" w:type="dxa"/>
            </w:tcMar>
            <w:vAlign w:val="center"/>
          </w:tcPr>
          <w:p>
            <w:pPr>
              <w:rPr>
                <w:sz w:val="18"/>
                <w:szCs w:val="18"/>
              </w:rPr>
            </w:pPr>
            <w:r>
              <w:rPr>
                <w:sz w:val="18"/>
                <w:szCs w:val="18"/>
              </w:rPr>
              <w:t>N,N dimethylaniline</w:t>
            </w:r>
          </w:p>
        </w:tc>
        <w:tc>
          <w:tcPr>
            <w:tcW w:w="1201" w:type="dxa"/>
            <w:tcBorders>
              <w:top w:val="single" w:color="000000" w:sz="8" w:space="0"/>
              <w:left w:val="nil"/>
              <w:bottom w:val="single" w:color="000000" w:sz="8" w:space="0"/>
              <w:right w:val="nil"/>
            </w:tcBorders>
            <w:shd w:val="clear" w:color="auto" w:fill="FFFFFF"/>
            <w:tcMar>
              <w:top w:w="11" w:type="dxa"/>
              <w:left w:w="11" w:type="dxa"/>
              <w:bottom w:w="0" w:type="dxa"/>
              <w:right w:w="11" w:type="dxa"/>
            </w:tcMar>
          </w:tcPr>
          <w:p>
            <w:pPr>
              <w:rPr>
                <w:sz w:val="18"/>
                <w:szCs w:val="18"/>
              </w:rPr>
            </w:pPr>
            <w:r>
              <w:rPr>
                <w:sz w:val="18"/>
                <w:szCs w:val="18"/>
              </w:rPr>
              <w:t xml:space="preserve">-1.038 </w:t>
            </w:r>
          </w:p>
        </w:tc>
        <w:tc>
          <w:tcPr>
            <w:tcW w:w="1417" w:type="dxa"/>
            <w:tcBorders>
              <w:top w:val="single" w:color="000000" w:sz="8" w:space="0"/>
              <w:left w:val="nil"/>
              <w:bottom w:val="single" w:color="000000" w:sz="8" w:space="0"/>
              <w:right w:val="nil"/>
            </w:tcBorders>
            <w:shd w:val="clear" w:color="auto" w:fill="FFFFFF"/>
            <w:tcMar>
              <w:top w:w="11" w:type="dxa"/>
              <w:left w:w="11" w:type="dxa"/>
              <w:bottom w:w="0" w:type="dxa"/>
              <w:right w:w="11" w:type="dxa"/>
            </w:tcMar>
          </w:tcPr>
          <w:p>
            <w:pPr>
              <w:rPr>
                <w:sz w:val="18"/>
                <w:szCs w:val="18"/>
              </w:rPr>
            </w:pPr>
            <w:r>
              <w:rPr>
                <w:sz w:val="18"/>
                <w:szCs w:val="18"/>
              </w:rPr>
              <w:t xml:space="preserve">0.862 </w:t>
            </w:r>
          </w:p>
        </w:tc>
        <w:tc>
          <w:tcPr>
            <w:tcW w:w="1282" w:type="dxa"/>
            <w:tcBorders>
              <w:top w:val="single" w:color="000000" w:sz="8" w:space="0"/>
              <w:left w:val="nil"/>
              <w:bottom w:val="single" w:color="000000" w:sz="8" w:space="0"/>
              <w:right w:val="nil"/>
            </w:tcBorders>
            <w:shd w:val="clear" w:color="auto" w:fill="FFFFFF"/>
            <w:tcMar>
              <w:top w:w="11" w:type="dxa"/>
              <w:left w:w="11" w:type="dxa"/>
              <w:bottom w:w="0" w:type="dxa"/>
              <w:right w:w="11" w:type="dxa"/>
            </w:tcMar>
          </w:tcPr>
          <w:p>
            <w:pPr>
              <w:rPr>
                <w:sz w:val="18"/>
                <w:szCs w:val="18"/>
              </w:rPr>
            </w:pPr>
            <w:r>
              <w:rPr>
                <w:sz w:val="18"/>
                <w:szCs w:val="18"/>
              </w:rPr>
              <w:t xml:space="preserve">1.900 </w:t>
            </w:r>
          </w:p>
        </w:tc>
        <w:tc>
          <w:tcPr>
            <w:tcW w:w="1231" w:type="dxa"/>
            <w:tcBorders>
              <w:top w:val="single" w:color="000000" w:sz="8" w:space="0"/>
              <w:left w:val="nil"/>
              <w:bottom w:val="single" w:color="000000" w:sz="8" w:space="0"/>
              <w:right w:val="nil"/>
            </w:tcBorders>
            <w:shd w:val="clear" w:color="auto" w:fill="FFFFFF"/>
            <w:tcMar>
              <w:top w:w="11" w:type="dxa"/>
              <w:left w:w="11" w:type="dxa"/>
              <w:bottom w:w="0" w:type="dxa"/>
              <w:right w:w="11" w:type="dxa"/>
            </w:tcMar>
          </w:tcPr>
          <w:p>
            <w:pPr>
              <w:rPr>
                <w:sz w:val="18"/>
                <w:szCs w:val="18"/>
              </w:rPr>
            </w:pPr>
            <w:r>
              <w:rPr>
                <w:sz w:val="18"/>
                <w:szCs w:val="18"/>
              </w:rPr>
              <w:t xml:space="preserve">-0.384 </w:t>
            </w:r>
          </w:p>
        </w:tc>
        <w:tc>
          <w:tcPr>
            <w:tcW w:w="1399" w:type="dxa"/>
            <w:tcBorders>
              <w:top w:val="single" w:color="000000" w:sz="8" w:space="0"/>
              <w:left w:val="nil"/>
              <w:bottom w:val="single" w:color="000000" w:sz="8" w:space="0"/>
              <w:right w:val="nil"/>
            </w:tcBorders>
            <w:shd w:val="clear" w:color="auto" w:fill="FFFFFF"/>
            <w:tcMar>
              <w:top w:w="11" w:type="dxa"/>
              <w:left w:w="11" w:type="dxa"/>
              <w:bottom w:w="0" w:type="dxa"/>
              <w:right w:w="11" w:type="dxa"/>
            </w:tcMar>
          </w:tcPr>
          <w:p>
            <w:pPr>
              <w:rPr>
                <w:sz w:val="18"/>
                <w:szCs w:val="18"/>
              </w:rPr>
            </w:pPr>
            <w:r>
              <w:rPr>
                <w:sz w:val="18"/>
                <w:szCs w:val="18"/>
              </w:rPr>
              <w:t xml:space="preserve">0.344 </w:t>
            </w:r>
          </w:p>
        </w:tc>
        <w:tc>
          <w:tcPr>
            <w:tcW w:w="1106" w:type="dxa"/>
            <w:tcBorders>
              <w:top w:val="single" w:color="000000" w:sz="8" w:space="0"/>
              <w:left w:val="nil"/>
              <w:bottom w:val="single" w:color="000000" w:sz="8" w:space="0"/>
              <w:right w:val="nil"/>
            </w:tcBorders>
            <w:shd w:val="clear" w:color="auto" w:fill="FFFFFF"/>
            <w:tcMar>
              <w:top w:w="11" w:type="dxa"/>
              <w:left w:w="11" w:type="dxa"/>
              <w:bottom w:w="0" w:type="dxa"/>
              <w:right w:w="11" w:type="dxa"/>
            </w:tcMar>
          </w:tcPr>
          <w:p>
            <w:pPr>
              <w:rPr>
                <w:sz w:val="18"/>
                <w:szCs w:val="18"/>
              </w:rPr>
            </w:pPr>
            <w:r>
              <w:rPr>
                <w:sz w:val="18"/>
                <w:szCs w:val="18"/>
              </w:rPr>
              <w:t xml:space="preserve">0.728 </w:t>
            </w:r>
          </w:p>
        </w:tc>
        <w:tc>
          <w:tcPr>
            <w:tcW w:w="1037" w:type="dxa"/>
            <w:tcBorders>
              <w:top w:val="single" w:color="000000" w:sz="8" w:space="0"/>
              <w:left w:val="nil"/>
              <w:bottom w:val="single" w:color="000000" w:sz="8" w:space="0"/>
              <w:right w:val="nil"/>
            </w:tcBorders>
            <w:shd w:val="clear" w:color="auto" w:fill="FFFFFF"/>
            <w:tcMar>
              <w:top w:w="11" w:type="dxa"/>
              <w:left w:w="11" w:type="dxa"/>
              <w:bottom w:w="0" w:type="dxa"/>
              <w:right w:w="11" w:type="dxa"/>
            </w:tcMar>
          </w:tcPr>
          <w:p>
            <w:pPr>
              <w:rPr>
                <w:sz w:val="18"/>
                <w:szCs w:val="18"/>
              </w:rPr>
            </w:pPr>
            <w:r>
              <w:rPr>
                <w:sz w:val="18"/>
                <w:szCs w:val="18"/>
              </w:rPr>
              <w:t xml:space="preserve">2.035 </w:t>
            </w:r>
          </w:p>
        </w:tc>
        <w:tc>
          <w:tcPr>
            <w:tcW w:w="1090" w:type="dxa"/>
            <w:tcBorders>
              <w:top w:val="single" w:color="000000" w:sz="8" w:space="0"/>
              <w:left w:val="nil"/>
              <w:bottom w:val="single" w:color="000000" w:sz="8" w:space="0"/>
              <w:right w:val="nil"/>
            </w:tcBorders>
            <w:shd w:val="clear" w:color="auto" w:fill="FFFFFF"/>
            <w:tcMar>
              <w:top w:w="11" w:type="dxa"/>
              <w:left w:w="11" w:type="dxa"/>
              <w:bottom w:w="0" w:type="dxa"/>
              <w:right w:w="11" w:type="dxa"/>
            </w:tcMar>
          </w:tcPr>
          <w:p>
            <w:pPr>
              <w:rPr>
                <w:sz w:val="18"/>
                <w:szCs w:val="18"/>
              </w:rPr>
            </w:pPr>
            <w:r>
              <w:rPr>
                <w:sz w:val="18"/>
                <w:szCs w:val="18"/>
              </w:rPr>
              <w:t xml:space="preserve">0.711 </w:t>
            </w:r>
          </w:p>
        </w:tc>
        <w:tc>
          <w:tcPr>
            <w:tcW w:w="1134" w:type="dxa"/>
            <w:tcBorders>
              <w:top w:val="single" w:color="000000" w:sz="8" w:space="0"/>
              <w:left w:val="nil"/>
              <w:bottom w:val="single" w:color="000000" w:sz="8" w:space="0"/>
              <w:right w:val="nil"/>
            </w:tcBorders>
            <w:shd w:val="clear" w:color="auto" w:fill="FFFFFF"/>
            <w:tcMar>
              <w:top w:w="11" w:type="dxa"/>
              <w:left w:w="11" w:type="dxa"/>
              <w:bottom w:w="0" w:type="dxa"/>
              <w:right w:w="11" w:type="dxa"/>
            </w:tcMar>
          </w:tcPr>
          <w:p>
            <w:pPr>
              <w:rPr>
                <w:sz w:val="18"/>
                <w:szCs w:val="18"/>
              </w:rPr>
            </w:pPr>
            <w:r>
              <w:rPr>
                <w:sz w:val="18"/>
                <w:szCs w:val="18"/>
              </w:rPr>
              <w:t xml:space="preserve">2.745 </w:t>
            </w:r>
          </w:p>
        </w:tc>
      </w:tr>
      <w:tr>
        <w:tblPrEx>
          <w:tblCellMar>
            <w:top w:w="0" w:type="dxa"/>
            <w:left w:w="0" w:type="dxa"/>
            <w:bottom w:w="0" w:type="dxa"/>
            <w:right w:w="0" w:type="dxa"/>
          </w:tblCellMar>
        </w:tblPrEx>
        <w:trPr>
          <w:trHeight w:val="381" w:hRule="atLeast"/>
          <w:jc w:val="center"/>
        </w:trPr>
        <w:tc>
          <w:tcPr>
            <w:tcW w:w="567" w:type="dxa"/>
            <w:tcBorders>
              <w:top w:val="single" w:color="000000" w:sz="8" w:space="0"/>
              <w:left w:val="nil"/>
              <w:bottom w:val="single" w:color="000000" w:sz="8" w:space="0"/>
              <w:right w:val="nil"/>
            </w:tcBorders>
            <w:shd w:val="clear" w:color="auto" w:fill="FFFFFF"/>
          </w:tcPr>
          <w:p>
            <w:pPr>
              <w:rPr>
                <w:sz w:val="18"/>
                <w:szCs w:val="18"/>
              </w:rPr>
            </w:pPr>
            <w:r>
              <w:rPr>
                <w:rFonts w:hint="eastAsia"/>
                <w:sz w:val="18"/>
                <w:szCs w:val="18"/>
              </w:rPr>
              <w:t>(7)</w:t>
            </w:r>
          </w:p>
        </w:tc>
        <w:tc>
          <w:tcPr>
            <w:tcW w:w="2627" w:type="dxa"/>
            <w:tcBorders>
              <w:top w:val="single" w:color="000000" w:sz="8" w:space="0"/>
              <w:left w:val="nil"/>
              <w:bottom w:val="single" w:color="000000" w:sz="8" w:space="0"/>
              <w:right w:val="nil"/>
            </w:tcBorders>
            <w:shd w:val="clear" w:color="auto" w:fill="FFFFFF"/>
            <w:tcMar>
              <w:top w:w="11" w:type="dxa"/>
              <w:left w:w="11" w:type="dxa"/>
              <w:bottom w:w="0" w:type="dxa"/>
              <w:right w:w="11" w:type="dxa"/>
            </w:tcMar>
            <w:vAlign w:val="center"/>
          </w:tcPr>
          <w:p>
            <w:pPr>
              <w:rPr>
                <w:sz w:val="18"/>
                <w:szCs w:val="18"/>
              </w:rPr>
            </w:pPr>
            <w:r>
              <w:rPr>
                <w:sz w:val="18"/>
                <w:szCs w:val="18"/>
              </w:rPr>
              <w:t>benzylamine</w:t>
            </w:r>
          </w:p>
        </w:tc>
        <w:tc>
          <w:tcPr>
            <w:tcW w:w="1201" w:type="dxa"/>
            <w:tcBorders>
              <w:top w:val="single" w:color="000000" w:sz="8" w:space="0"/>
              <w:left w:val="nil"/>
              <w:bottom w:val="single" w:color="000000" w:sz="8" w:space="0"/>
              <w:right w:val="nil"/>
            </w:tcBorders>
            <w:shd w:val="clear" w:color="auto" w:fill="FFFFFF"/>
            <w:tcMar>
              <w:top w:w="11" w:type="dxa"/>
              <w:left w:w="11" w:type="dxa"/>
              <w:bottom w:w="0" w:type="dxa"/>
              <w:right w:w="11" w:type="dxa"/>
            </w:tcMar>
          </w:tcPr>
          <w:p>
            <w:pPr>
              <w:rPr>
                <w:sz w:val="18"/>
                <w:szCs w:val="18"/>
              </w:rPr>
            </w:pPr>
            <w:r>
              <w:rPr>
                <w:sz w:val="18"/>
                <w:szCs w:val="18"/>
              </w:rPr>
              <w:t xml:space="preserve">-1.301 </w:t>
            </w:r>
          </w:p>
        </w:tc>
        <w:tc>
          <w:tcPr>
            <w:tcW w:w="1417" w:type="dxa"/>
            <w:tcBorders>
              <w:top w:val="single" w:color="000000" w:sz="8" w:space="0"/>
              <w:left w:val="nil"/>
              <w:bottom w:val="single" w:color="000000" w:sz="8" w:space="0"/>
              <w:right w:val="nil"/>
            </w:tcBorders>
            <w:shd w:val="clear" w:color="auto" w:fill="FFFFFF"/>
            <w:tcMar>
              <w:top w:w="11" w:type="dxa"/>
              <w:left w:w="11" w:type="dxa"/>
              <w:bottom w:w="0" w:type="dxa"/>
              <w:right w:w="11" w:type="dxa"/>
            </w:tcMar>
          </w:tcPr>
          <w:p>
            <w:pPr>
              <w:rPr>
                <w:sz w:val="18"/>
                <w:szCs w:val="18"/>
              </w:rPr>
            </w:pPr>
            <w:r>
              <w:rPr>
                <w:sz w:val="18"/>
                <w:szCs w:val="18"/>
              </w:rPr>
              <w:t xml:space="preserve">1.219 </w:t>
            </w:r>
          </w:p>
        </w:tc>
        <w:tc>
          <w:tcPr>
            <w:tcW w:w="1282" w:type="dxa"/>
            <w:tcBorders>
              <w:top w:val="single" w:color="000000" w:sz="8" w:space="0"/>
              <w:left w:val="nil"/>
              <w:bottom w:val="single" w:color="000000" w:sz="8" w:space="0"/>
              <w:right w:val="nil"/>
            </w:tcBorders>
            <w:shd w:val="clear" w:color="auto" w:fill="FFFFFF"/>
            <w:tcMar>
              <w:top w:w="11" w:type="dxa"/>
              <w:left w:w="11" w:type="dxa"/>
              <w:bottom w:w="0" w:type="dxa"/>
              <w:right w:w="11" w:type="dxa"/>
            </w:tcMar>
          </w:tcPr>
          <w:p>
            <w:pPr>
              <w:rPr>
                <w:sz w:val="18"/>
                <w:szCs w:val="18"/>
              </w:rPr>
            </w:pPr>
            <w:r>
              <w:rPr>
                <w:sz w:val="18"/>
                <w:szCs w:val="18"/>
              </w:rPr>
              <w:t xml:space="preserve">2.520 </w:t>
            </w:r>
          </w:p>
        </w:tc>
        <w:tc>
          <w:tcPr>
            <w:tcW w:w="1231" w:type="dxa"/>
            <w:tcBorders>
              <w:top w:val="single" w:color="000000" w:sz="8" w:space="0"/>
              <w:left w:val="nil"/>
              <w:bottom w:val="single" w:color="000000" w:sz="8" w:space="0"/>
              <w:right w:val="nil"/>
            </w:tcBorders>
            <w:shd w:val="clear" w:color="auto" w:fill="FFFFFF"/>
            <w:tcMar>
              <w:top w:w="11" w:type="dxa"/>
              <w:left w:w="11" w:type="dxa"/>
              <w:bottom w:w="0" w:type="dxa"/>
              <w:right w:w="11" w:type="dxa"/>
            </w:tcMar>
          </w:tcPr>
          <w:p>
            <w:pPr>
              <w:rPr>
                <w:sz w:val="18"/>
                <w:szCs w:val="18"/>
              </w:rPr>
            </w:pPr>
            <w:r>
              <w:rPr>
                <w:sz w:val="18"/>
                <w:szCs w:val="18"/>
              </w:rPr>
              <w:t xml:space="preserve">-0.425 </w:t>
            </w:r>
          </w:p>
        </w:tc>
        <w:tc>
          <w:tcPr>
            <w:tcW w:w="1399" w:type="dxa"/>
            <w:tcBorders>
              <w:top w:val="single" w:color="000000" w:sz="8" w:space="0"/>
              <w:left w:val="nil"/>
              <w:bottom w:val="single" w:color="000000" w:sz="8" w:space="0"/>
              <w:right w:val="nil"/>
            </w:tcBorders>
            <w:shd w:val="clear" w:color="auto" w:fill="FFFFFF"/>
            <w:tcMar>
              <w:top w:w="11" w:type="dxa"/>
              <w:left w:w="11" w:type="dxa"/>
              <w:bottom w:w="0" w:type="dxa"/>
              <w:right w:w="11" w:type="dxa"/>
            </w:tcMar>
          </w:tcPr>
          <w:p>
            <w:pPr>
              <w:rPr>
                <w:sz w:val="18"/>
                <w:szCs w:val="18"/>
              </w:rPr>
            </w:pPr>
            <w:r>
              <w:rPr>
                <w:sz w:val="18"/>
                <w:szCs w:val="18"/>
              </w:rPr>
              <w:t xml:space="preserve">0.411 </w:t>
            </w:r>
          </w:p>
        </w:tc>
        <w:tc>
          <w:tcPr>
            <w:tcW w:w="1106" w:type="dxa"/>
            <w:tcBorders>
              <w:top w:val="single" w:color="000000" w:sz="8" w:space="0"/>
              <w:left w:val="nil"/>
              <w:bottom w:val="single" w:color="000000" w:sz="8" w:space="0"/>
              <w:right w:val="nil"/>
            </w:tcBorders>
            <w:shd w:val="clear" w:color="auto" w:fill="FFFFFF"/>
            <w:tcMar>
              <w:top w:w="11" w:type="dxa"/>
              <w:left w:w="11" w:type="dxa"/>
              <w:bottom w:w="0" w:type="dxa"/>
              <w:right w:w="11" w:type="dxa"/>
            </w:tcMar>
          </w:tcPr>
          <w:p>
            <w:pPr>
              <w:rPr>
                <w:sz w:val="18"/>
                <w:szCs w:val="18"/>
              </w:rPr>
            </w:pPr>
            <w:r>
              <w:rPr>
                <w:sz w:val="18"/>
                <w:szCs w:val="18"/>
              </w:rPr>
              <w:t xml:space="preserve">0.836 </w:t>
            </w:r>
          </w:p>
        </w:tc>
        <w:tc>
          <w:tcPr>
            <w:tcW w:w="1037" w:type="dxa"/>
            <w:tcBorders>
              <w:top w:val="single" w:color="000000" w:sz="8" w:space="0"/>
              <w:left w:val="nil"/>
              <w:bottom w:val="single" w:color="000000" w:sz="8" w:space="0"/>
              <w:right w:val="nil"/>
            </w:tcBorders>
            <w:shd w:val="clear" w:color="auto" w:fill="FFFFFF"/>
            <w:tcMar>
              <w:top w:w="11" w:type="dxa"/>
              <w:left w:w="11" w:type="dxa"/>
              <w:bottom w:w="0" w:type="dxa"/>
              <w:right w:w="11" w:type="dxa"/>
            </w:tcMar>
          </w:tcPr>
          <w:p>
            <w:pPr>
              <w:rPr>
                <w:sz w:val="18"/>
                <w:szCs w:val="18"/>
              </w:rPr>
            </w:pPr>
            <w:r>
              <w:rPr>
                <w:sz w:val="18"/>
                <w:szCs w:val="18"/>
              </w:rPr>
              <w:t xml:space="preserve">1.953 </w:t>
            </w:r>
          </w:p>
        </w:tc>
        <w:tc>
          <w:tcPr>
            <w:tcW w:w="1090" w:type="dxa"/>
            <w:tcBorders>
              <w:top w:val="single" w:color="000000" w:sz="8" w:space="0"/>
              <w:left w:val="nil"/>
              <w:bottom w:val="single" w:color="000000" w:sz="8" w:space="0"/>
              <w:right w:val="nil"/>
            </w:tcBorders>
            <w:shd w:val="clear" w:color="auto" w:fill="FFFFFF"/>
            <w:tcMar>
              <w:top w:w="11" w:type="dxa"/>
              <w:left w:w="11" w:type="dxa"/>
              <w:bottom w:w="0" w:type="dxa"/>
              <w:right w:w="11" w:type="dxa"/>
            </w:tcMar>
          </w:tcPr>
          <w:p>
            <w:pPr>
              <w:rPr>
                <w:sz w:val="18"/>
                <w:szCs w:val="18"/>
              </w:rPr>
            </w:pPr>
            <w:r>
              <w:rPr>
                <w:sz w:val="18"/>
                <w:szCs w:val="18"/>
              </w:rPr>
              <w:t xml:space="preserve">1.411 </w:t>
            </w:r>
          </w:p>
        </w:tc>
        <w:tc>
          <w:tcPr>
            <w:tcW w:w="1134" w:type="dxa"/>
            <w:tcBorders>
              <w:top w:val="single" w:color="000000" w:sz="8" w:space="0"/>
              <w:left w:val="nil"/>
              <w:bottom w:val="single" w:color="000000" w:sz="8" w:space="0"/>
              <w:right w:val="nil"/>
            </w:tcBorders>
            <w:shd w:val="clear" w:color="auto" w:fill="FFFFFF"/>
            <w:tcMar>
              <w:top w:w="11" w:type="dxa"/>
              <w:left w:w="11" w:type="dxa"/>
              <w:bottom w:w="0" w:type="dxa"/>
              <w:right w:w="11" w:type="dxa"/>
            </w:tcMar>
          </w:tcPr>
          <w:p>
            <w:pPr>
              <w:rPr>
                <w:sz w:val="18"/>
                <w:szCs w:val="18"/>
              </w:rPr>
            </w:pPr>
            <w:r>
              <w:rPr>
                <w:sz w:val="18"/>
                <w:szCs w:val="18"/>
              </w:rPr>
              <w:t xml:space="preserve">3.364 </w:t>
            </w:r>
          </w:p>
        </w:tc>
      </w:tr>
      <w:tr>
        <w:tblPrEx>
          <w:tblCellMar>
            <w:top w:w="0" w:type="dxa"/>
            <w:left w:w="0" w:type="dxa"/>
            <w:bottom w:w="0" w:type="dxa"/>
            <w:right w:w="0" w:type="dxa"/>
          </w:tblCellMar>
        </w:tblPrEx>
        <w:trPr>
          <w:trHeight w:val="381" w:hRule="atLeast"/>
          <w:jc w:val="center"/>
        </w:trPr>
        <w:tc>
          <w:tcPr>
            <w:tcW w:w="567" w:type="dxa"/>
            <w:tcBorders>
              <w:top w:val="single" w:color="000000" w:sz="8" w:space="0"/>
              <w:left w:val="nil"/>
              <w:bottom w:val="single" w:color="000000" w:sz="8" w:space="0"/>
              <w:right w:val="nil"/>
            </w:tcBorders>
            <w:shd w:val="clear" w:color="auto" w:fill="FFFFFF"/>
          </w:tcPr>
          <w:p>
            <w:pPr>
              <w:rPr>
                <w:sz w:val="18"/>
                <w:szCs w:val="18"/>
              </w:rPr>
            </w:pPr>
            <w:r>
              <w:rPr>
                <w:rFonts w:hint="eastAsia"/>
                <w:sz w:val="18"/>
                <w:szCs w:val="18"/>
              </w:rPr>
              <w:t>(8)</w:t>
            </w:r>
          </w:p>
        </w:tc>
        <w:tc>
          <w:tcPr>
            <w:tcW w:w="2627" w:type="dxa"/>
            <w:tcBorders>
              <w:top w:val="single" w:color="000000" w:sz="8" w:space="0"/>
              <w:left w:val="nil"/>
              <w:bottom w:val="single" w:color="000000" w:sz="8" w:space="0"/>
              <w:right w:val="nil"/>
            </w:tcBorders>
            <w:shd w:val="clear" w:color="auto" w:fill="FFFFFF"/>
            <w:tcMar>
              <w:top w:w="11" w:type="dxa"/>
              <w:left w:w="11" w:type="dxa"/>
              <w:bottom w:w="0" w:type="dxa"/>
              <w:right w:w="11" w:type="dxa"/>
            </w:tcMar>
            <w:vAlign w:val="center"/>
          </w:tcPr>
          <w:p>
            <w:pPr>
              <w:rPr>
                <w:sz w:val="18"/>
                <w:szCs w:val="18"/>
              </w:rPr>
            </w:pPr>
            <w:r>
              <w:rPr>
                <w:sz w:val="18"/>
                <w:szCs w:val="18"/>
              </w:rPr>
              <w:t>N,N Dimethylbenzylamine</w:t>
            </w:r>
          </w:p>
        </w:tc>
        <w:tc>
          <w:tcPr>
            <w:tcW w:w="1201" w:type="dxa"/>
            <w:tcBorders>
              <w:top w:val="single" w:color="000000" w:sz="8" w:space="0"/>
              <w:left w:val="nil"/>
              <w:bottom w:val="single" w:color="000000" w:sz="8" w:space="0"/>
              <w:right w:val="nil"/>
            </w:tcBorders>
            <w:shd w:val="clear" w:color="auto" w:fill="FFFFFF"/>
            <w:tcMar>
              <w:top w:w="11" w:type="dxa"/>
              <w:left w:w="11" w:type="dxa"/>
              <w:bottom w:w="0" w:type="dxa"/>
              <w:right w:w="11" w:type="dxa"/>
            </w:tcMar>
          </w:tcPr>
          <w:p>
            <w:pPr>
              <w:rPr>
                <w:sz w:val="18"/>
                <w:szCs w:val="18"/>
              </w:rPr>
            </w:pPr>
            <w:r>
              <w:rPr>
                <w:sz w:val="18"/>
                <w:szCs w:val="18"/>
              </w:rPr>
              <w:t xml:space="preserve">-1.052 </w:t>
            </w:r>
          </w:p>
        </w:tc>
        <w:tc>
          <w:tcPr>
            <w:tcW w:w="1417" w:type="dxa"/>
            <w:tcBorders>
              <w:top w:val="single" w:color="000000" w:sz="8" w:space="0"/>
              <w:left w:val="nil"/>
              <w:bottom w:val="single" w:color="000000" w:sz="8" w:space="0"/>
              <w:right w:val="nil"/>
            </w:tcBorders>
            <w:shd w:val="clear" w:color="auto" w:fill="FFFFFF"/>
            <w:tcMar>
              <w:top w:w="11" w:type="dxa"/>
              <w:left w:w="11" w:type="dxa"/>
              <w:bottom w:w="0" w:type="dxa"/>
              <w:right w:w="11" w:type="dxa"/>
            </w:tcMar>
          </w:tcPr>
          <w:p>
            <w:pPr>
              <w:rPr>
                <w:sz w:val="18"/>
                <w:szCs w:val="18"/>
              </w:rPr>
            </w:pPr>
            <w:r>
              <w:rPr>
                <w:sz w:val="18"/>
                <w:szCs w:val="18"/>
              </w:rPr>
              <w:t xml:space="preserve">0.651 </w:t>
            </w:r>
          </w:p>
        </w:tc>
        <w:tc>
          <w:tcPr>
            <w:tcW w:w="1282" w:type="dxa"/>
            <w:tcBorders>
              <w:top w:val="single" w:color="000000" w:sz="8" w:space="0"/>
              <w:left w:val="nil"/>
              <w:bottom w:val="single" w:color="000000" w:sz="8" w:space="0"/>
              <w:right w:val="nil"/>
            </w:tcBorders>
            <w:shd w:val="clear" w:color="auto" w:fill="FFFFFF"/>
            <w:tcMar>
              <w:top w:w="11" w:type="dxa"/>
              <w:left w:w="11" w:type="dxa"/>
              <w:bottom w:w="0" w:type="dxa"/>
              <w:right w:w="11" w:type="dxa"/>
            </w:tcMar>
          </w:tcPr>
          <w:p>
            <w:pPr>
              <w:rPr>
                <w:sz w:val="18"/>
                <w:szCs w:val="18"/>
              </w:rPr>
            </w:pPr>
            <w:r>
              <w:rPr>
                <w:sz w:val="18"/>
                <w:szCs w:val="18"/>
              </w:rPr>
              <w:t xml:space="preserve">1.703 </w:t>
            </w:r>
          </w:p>
        </w:tc>
        <w:tc>
          <w:tcPr>
            <w:tcW w:w="1231" w:type="dxa"/>
            <w:tcBorders>
              <w:top w:val="single" w:color="000000" w:sz="8" w:space="0"/>
              <w:left w:val="nil"/>
              <w:bottom w:val="single" w:color="000000" w:sz="8" w:space="0"/>
              <w:right w:val="nil"/>
            </w:tcBorders>
            <w:shd w:val="clear" w:color="auto" w:fill="FFFFFF"/>
            <w:tcMar>
              <w:top w:w="11" w:type="dxa"/>
              <w:left w:w="11" w:type="dxa"/>
              <w:bottom w:w="0" w:type="dxa"/>
              <w:right w:w="11" w:type="dxa"/>
            </w:tcMar>
          </w:tcPr>
          <w:p>
            <w:pPr>
              <w:rPr>
                <w:sz w:val="18"/>
                <w:szCs w:val="18"/>
              </w:rPr>
            </w:pPr>
            <w:r>
              <w:rPr>
                <w:sz w:val="18"/>
                <w:szCs w:val="18"/>
              </w:rPr>
              <w:t xml:space="preserve">-0.679 </w:t>
            </w:r>
          </w:p>
        </w:tc>
        <w:tc>
          <w:tcPr>
            <w:tcW w:w="1399" w:type="dxa"/>
            <w:tcBorders>
              <w:top w:val="single" w:color="000000" w:sz="8" w:space="0"/>
              <w:left w:val="nil"/>
              <w:bottom w:val="single" w:color="000000" w:sz="8" w:space="0"/>
              <w:right w:val="nil"/>
            </w:tcBorders>
            <w:shd w:val="clear" w:color="auto" w:fill="FFFFFF"/>
            <w:tcMar>
              <w:top w:w="11" w:type="dxa"/>
              <w:left w:w="11" w:type="dxa"/>
              <w:bottom w:w="0" w:type="dxa"/>
              <w:right w:w="11" w:type="dxa"/>
            </w:tcMar>
          </w:tcPr>
          <w:p>
            <w:pPr>
              <w:rPr>
                <w:sz w:val="18"/>
                <w:szCs w:val="18"/>
              </w:rPr>
            </w:pPr>
            <w:r>
              <w:rPr>
                <w:sz w:val="18"/>
                <w:szCs w:val="18"/>
              </w:rPr>
              <w:t xml:space="preserve">0.406 </w:t>
            </w:r>
          </w:p>
        </w:tc>
        <w:tc>
          <w:tcPr>
            <w:tcW w:w="1106" w:type="dxa"/>
            <w:tcBorders>
              <w:top w:val="single" w:color="000000" w:sz="8" w:space="0"/>
              <w:left w:val="nil"/>
              <w:bottom w:val="single" w:color="000000" w:sz="8" w:space="0"/>
              <w:right w:val="nil"/>
            </w:tcBorders>
            <w:shd w:val="clear" w:color="auto" w:fill="FFFFFF"/>
            <w:tcMar>
              <w:top w:w="11" w:type="dxa"/>
              <w:left w:w="11" w:type="dxa"/>
              <w:bottom w:w="0" w:type="dxa"/>
              <w:right w:w="11" w:type="dxa"/>
            </w:tcMar>
          </w:tcPr>
          <w:p>
            <w:pPr>
              <w:rPr>
                <w:sz w:val="18"/>
                <w:szCs w:val="18"/>
              </w:rPr>
            </w:pPr>
            <w:r>
              <w:rPr>
                <w:sz w:val="18"/>
                <w:szCs w:val="18"/>
              </w:rPr>
              <w:t xml:space="preserve">1.085 </w:t>
            </w:r>
          </w:p>
        </w:tc>
        <w:tc>
          <w:tcPr>
            <w:tcW w:w="1037" w:type="dxa"/>
            <w:tcBorders>
              <w:top w:val="single" w:color="000000" w:sz="8" w:space="0"/>
              <w:left w:val="nil"/>
              <w:bottom w:val="single" w:color="000000" w:sz="8" w:space="0"/>
              <w:right w:val="nil"/>
            </w:tcBorders>
            <w:shd w:val="clear" w:color="auto" w:fill="FFFFFF"/>
            <w:tcMar>
              <w:top w:w="11" w:type="dxa"/>
              <w:left w:w="11" w:type="dxa"/>
              <w:bottom w:w="0" w:type="dxa"/>
              <w:right w:w="11" w:type="dxa"/>
            </w:tcMar>
          </w:tcPr>
          <w:p>
            <w:pPr>
              <w:rPr>
                <w:sz w:val="18"/>
                <w:szCs w:val="18"/>
              </w:rPr>
            </w:pPr>
            <w:r>
              <w:rPr>
                <w:sz w:val="18"/>
                <w:szCs w:val="18"/>
              </w:rPr>
              <w:t xml:space="preserve">1.541 </w:t>
            </w:r>
          </w:p>
        </w:tc>
        <w:tc>
          <w:tcPr>
            <w:tcW w:w="1090" w:type="dxa"/>
            <w:tcBorders>
              <w:top w:val="single" w:color="000000" w:sz="8" w:space="0"/>
              <w:left w:val="nil"/>
              <w:bottom w:val="single" w:color="000000" w:sz="8" w:space="0"/>
              <w:right w:val="nil"/>
            </w:tcBorders>
            <w:shd w:val="clear" w:color="auto" w:fill="FFFFFF"/>
            <w:tcMar>
              <w:top w:w="11" w:type="dxa"/>
              <w:left w:w="11" w:type="dxa"/>
              <w:bottom w:w="0" w:type="dxa"/>
              <w:right w:w="11" w:type="dxa"/>
            </w:tcMar>
          </w:tcPr>
          <w:p>
            <w:pPr>
              <w:rPr>
                <w:sz w:val="18"/>
                <w:szCs w:val="18"/>
              </w:rPr>
            </w:pPr>
            <w:r>
              <w:rPr>
                <w:sz w:val="18"/>
                <w:szCs w:val="18"/>
              </w:rPr>
              <w:t xml:space="preserve">0.509 </w:t>
            </w:r>
          </w:p>
        </w:tc>
        <w:tc>
          <w:tcPr>
            <w:tcW w:w="1134" w:type="dxa"/>
            <w:tcBorders>
              <w:top w:val="single" w:color="000000" w:sz="8" w:space="0"/>
              <w:left w:val="nil"/>
              <w:bottom w:val="single" w:color="000000" w:sz="8" w:space="0"/>
              <w:right w:val="nil"/>
            </w:tcBorders>
            <w:shd w:val="clear" w:color="auto" w:fill="FFFFFF"/>
            <w:tcMar>
              <w:top w:w="11" w:type="dxa"/>
              <w:left w:w="11" w:type="dxa"/>
              <w:bottom w:w="0" w:type="dxa"/>
              <w:right w:w="11" w:type="dxa"/>
            </w:tcMar>
          </w:tcPr>
          <w:p>
            <w:pPr>
              <w:rPr>
                <w:sz w:val="18"/>
                <w:szCs w:val="18"/>
              </w:rPr>
            </w:pPr>
            <w:r>
              <w:rPr>
                <w:sz w:val="18"/>
                <w:szCs w:val="18"/>
              </w:rPr>
              <w:t xml:space="preserve">2.050 </w:t>
            </w:r>
          </w:p>
        </w:tc>
      </w:tr>
      <w:tr>
        <w:tblPrEx>
          <w:tblCellMar>
            <w:top w:w="0" w:type="dxa"/>
            <w:left w:w="0" w:type="dxa"/>
            <w:bottom w:w="0" w:type="dxa"/>
            <w:right w:w="0" w:type="dxa"/>
          </w:tblCellMar>
        </w:tblPrEx>
        <w:trPr>
          <w:trHeight w:val="381" w:hRule="atLeast"/>
          <w:jc w:val="center"/>
        </w:trPr>
        <w:tc>
          <w:tcPr>
            <w:tcW w:w="567" w:type="dxa"/>
            <w:tcBorders>
              <w:top w:val="single" w:color="000000" w:sz="8" w:space="0"/>
              <w:left w:val="nil"/>
              <w:bottom w:val="single" w:color="000000" w:sz="8" w:space="0"/>
              <w:right w:val="nil"/>
            </w:tcBorders>
            <w:shd w:val="clear" w:color="auto" w:fill="FFFFFF"/>
          </w:tcPr>
          <w:p>
            <w:pPr>
              <w:rPr>
                <w:sz w:val="18"/>
                <w:szCs w:val="18"/>
              </w:rPr>
            </w:pPr>
            <w:r>
              <w:rPr>
                <w:rFonts w:hint="eastAsia"/>
                <w:sz w:val="18"/>
                <w:szCs w:val="18"/>
              </w:rPr>
              <w:t>(9)</w:t>
            </w:r>
          </w:p>
        </w:tc>
        <w:tc>
          <w:tcPr>
            <w:tcW w:w="2627" w:type="dxa"/>
            <w:tcBorders>
              <w:top w:val="single" w:color="000000" w:sz="8" w:space="0"/>
              <w:left w:val="nil"/>
              <w:bottom w:val="single" w:color="000000" w:sz="8" w:space="0"/>
              <w:right w:val="nil"/>
            </w:tcBorders>
            <w:shd w:val="clear" w:color="auto" w:fill="FFFFFF"/>
            <w:tcMar>
              <w:top w:w="11" w:type="dxa"/>
              <w:left w:w="11" w:type="dxa"/>
              <w:bottom w:w="0" w:type="dxa"/>
              <w:right w:w="11" w:type="dxa"/>
            </w:tcMar>
            <w:vAlign w:val="center"/>
          </w:tcPr>
          <w:p>
            <w:pPr>
              <w:rPr>
                <w:sz w:val="18"/>
                <w:szCs w:val="18"/>
              </w:rPr>
            </w:pPr>
            <w:r>
              <w:rPr>
                <w:sz w:val="18"/>
                <w:szCs w:val="18"/>
              </w:rPr>
              <w:t>Diphenylamine</w:t>
            </w:r>
          </w:p>
        </w:tc>
        <w:tc>
          <w:tcPr>
            <w:tcW w:w="1201" w:type="dxa"/>
            <w:tcBorders>
              <w:top w:val="single" w:color="000000" w:sz="8" w:space="0"/>
              <w:left w:val="nil"/>
              <w:bottom w:val="single" w:color="000000" w:sz="8" w:space="0"/>
              <w:right w:val="nil"/>
            </w:tcBorders>
            <w:shd w:val="clear" w:color="auto" w:fill="FFFFFF"/>
            <w:tcMar>
              <w:top w:w="11" w:type="dxa"/>
              <w:left w:w="11" w:type="dxa"/>
              <w:bottom w:w="0" w:type="dxa"/>
              <w:right w:w="11" w:type="dxa"/>
            </w:tcMar>
          </w:tcPr>
          <w:p>
            <w:pPr>
              <w:rPr>
                <w:sz w:val="18"/>
                <w:szCs w:val="18"/>
              </w:rPr>
            </w:pPr>
            <w:r>
              <w:rPr>
                <w:sz w:val="18"/>
                <w:szCs w:val="18"/>
              </w:rPr>
              <w:t xml:space="preserve">-0.821 </w:t>
            </w:r>
          </w:p>
        </w:tc>
        <w:tc>
          <w:tcPr>
            <w:tcW w:w="1417" w:type="dxa"/>
            <w:tcBorders>
              <w:top w:val="single" w:color="000000" w:sz="8" w:space="0"/>
              <w:left w:val="nil"/>
              <w:bottom w:val="single" w:color="000000" w:sz="8" w:space="0"/>
              <w:right w:val="nil"/>
            </w:tcBorders>
            <w:shd w:val="clear" w:color="auto" w:fill="FFFFFF"/>
            <w:tcMar>
              <w:top w:w="11" w:type="dxa"/>
              <w:left w:w="11" w:type="dxa"/>
              <w:bottom w:w="0" w:type="dxa"/>
              <w:right w:w="11" w:type="dxa"/>
            </w:tcMar>
          </w:tcPr>
          <w:p>
            <w:pPr>
              <w:rPr>
                <w:sz w:val="18"/>
                <w:szCs w:val="18"/>
              </w:rPr>
            </w:pPr>
            <w:r>
              <w:rPr>
                <w:sz w:val="18"/>
                <w:szCs w:val="18"/>
              </w:rPr>
              <w:t xml:space="preserve">1.789 </w:t>
            </w:r>
          </w:p>
        </w:tc>
        <w:tc>
          <w:tcPr>
            <w:tcW w:w="1282" w:type="dxa"/>
            <w:tcBorders>
              <w:top w:val="single" w:color="000000" w:sz="8" w:space="0"/>
              <w:left w:val="nil"/>
              <w:bottom w:val="single" w:color="000000" w:sz="8" w:space="0"/>
              <w:right w:val="nil"/>
            </w:tcBorders>
            <w:shd w:val="clear" w:color="auto" w:fill="FFFFFF"/>
            <w:tcMar>
              <w:top w:w="11" w:type="dxa"/>
              <w:left w:w="11" w:type="dxa"/>
              <w:bottom w:w="0" w:type="dxa"/>
              <w:right w:w="11" w:type="dxa"/>
            </w:tcMar>
          </w:tcPr>
          <w:p>
            <w:pPr>
              <w:rPr>
                <w:sz w:val="18"/>
                <w:szCs w:val="18"/>
              </w:rPr>
            </w:pPr>
            <w:r>
              <w:rPr>
                <w:sz w:val="18"/>
                <w:szCs w:val="18"/>
              </w:rPr>
              <w:t xml:space="preserve">2.610 </w:t>
            </w:r>
          </w:p>
        </w:tc>
        <w:tc>
          <w:tcPr>
            <w:tcW w:w="1231" w:type="dxa"/>
            <w:tcBorders>
              <w:top w:val="single" w:color="000000" w:sz="8" w:space="0"/>
              <w:left w:val="nil"/>
              <w:bottom w:val="single" w:color="000000" w:sz="8" w:space="0"/>
              <w:right w:val="nil"/>
            </w:tcBorders>
            <w:shd w:val="clear" w:color="auto" w:fill="FFFFFF"/>
            <w:tcMar>
              <w:top w:w="11" w:type="dxa"/>
              <w:left w:w="11" w:type="dxa"/>
              <w:bottom w:w="0" w:type="dxa"/>
              <w:right w:w="11" w:type="dxa"/>
            </w:tcMar>
          </w:tcPr>
          <w:p>
            <w:pPr>
              <w:rPr>
                <w:sz w:val="18"/>
                <w:szCs w:val="18"/>
              </w:rPr>
            </w:pPr>
            <w:r>
              <w:rPr>
                <w:sz w:val="18"/>
                <w:szCs w:val="18"/>
              </w:rPr>
              <w:t xml:space="preserve">-0.490 </w:t>
            </w:r>
          </w:p>
        </w:tc>
        <w:tc>
          <w:tcPr>
            <w:tcW w:w="1399" w:type="dxa"/>
            <w:tcBorders>
              <w:top w:val="single" w:color="000000" w:sz="8" w:space="0"/>
              <w:left w:val="nil"/>
              <w:bottom w:val="single" w:color="000000" w:sz="8" w:space="0"/>
              <w:right w:val="nil"/>
            </w:tcBorders>
            <w:shd w:val="clear" w:color="auto" w:fill="FFFFFF"/>
            <w:tcMar>
              <w:top w:w="11" w:type="dxa"/>
              <w:left w:w="11" w:type="dxa"/>
              <w:bottom w:w="0" w:type="dxa"/>
              <w:right w:w="11" w:type="dxa"/>
            </w:tcMar>
          </w:tcPr>
          <w:p>
            <w:pPr>
              <w:rPr>
                <w:sz w:val="18"/>
                <w:szCs w:val="18"/>
              </w:rPr>
            </w:pPr>
            <w:r>
              <w:rPr>
                <w:sz w:val="18"/>
                <w:szCs w:val="18"/>
              </w:rPr>
              <w:t xml:space="preserve">0.313 </w:t>
            </w:r>
          </w:p>
        </w:tc>
        <w:tc>
          <w:tcPr>
            <w:tcW w:w="1106" w:type="dxa"/>
            <w:tcBorders>
              <w:top w:val="single" w:color="000000" w:sz="8" w:space="0"/>
              <w:left w:val="nil"/>
              <w:bottom w:val="single" w:color="000000" w:sz="8" w:space="0"/>
              <w:right w:val="nil"/>
            </w:tcBorders>
            <w:shd w:val="clear" w:color="auto" w:fill="FFFFFF"/>
            <w:tcMar>
              <w:top w:w="11" w:type="dxa"/>
              <w:left w:w="11" w:type="dxa"/>
              <w:bottom w:w="0" w:type="dxa"/>
              <w:right w:w="11" w:type="dxa"/>
            </w:tcMar>
          </w:tcPr>
          <w:p>
            <w:pPr>
              <w:rPr>
                <w:sz w:val="18"/>
                <w:szCs w:val="18"/>
              </w:rPr>
            </w:pPr>
            <w:r>
              <w:rPr>
                <w:sz w:val="18"/>
                <w:szCs w:val="18"/>
              </w:rPr>
              <w:t xml:space="preserve">0.803 </w:t>
            </w:r>
          </w:p>
        </w:tc>
        <w:tc>
          <w:tcPr>
            <w:tcW w:w="1037" w:type="dxa"/>
            <w:tcBorders>
              <w:top w:val="single" w:color="000000" w:sz="8" w:space="0"/>
              <w:left w:val="nil"/>
              <w:bottom w:val="single" w:color="000000" w:sz="8" w:space="0"/>
              <w:right w:val="nil"/>
            </w:tcBorders>
            <w:shd w:val="clear" w:color="auto" w:fill="FFFFFF"/>
            <w:tcMar>
              <w:top w:w="11" w:type="dxa"/>
              <w:left w:w="11" w:type="dxa"/>
              <w:bottom w:w="0" w:type="dxa"/>
              <w:right w:w="11" w:type="dxa"/>
            </w:tcMar>
          </w:tcPr>
          <w:p>
            <w:pPr>
              <w:rPr>
                <w:sz w:val="18"/>
                <w:szCs w:val="18"/>
              </w:rPr>
            </w:pPr>
            <w:r>
              <w:rPr>
                <w:sz w:val="18"/>
                <w:szCs w:val="18"/>
              </w:rPr>
              <w:t xml:space="preserve">1.208 </w:t>
            </w:r>
          </w:p>
        </w:tc>
        <w:tc>
          <w:tcPr>
            <w:tcW w:w="1090" w:type="dxa"/>
            <w:tcBorders>
              <w:top w:val="single" w:color="000000" w:sz="8" w:space="0"/>
              <w:left w:val="nil"/>
              <w:bottom w:val="single" w:color="000000" w:sz="8" w:space="0"/>
              <w:right w:val="nil"/>
            </w:tcBorders>
            <w:shd w:val="clear" w:color="auto" w:fill="FFFFFF"/>
            <w:tcMar>
              <w:top w:w="11" w:type="dxa"/>
              <w:left w:w="11" w:type="dxa"/>
              <w:bottom w:w="0" w:type="dxa"/>
              <w:right w:w="11" w:type="dxa"/>
            </w:tcMar>
          </w:tcPr>
          <w:p>
            <w:pPr>
              <w:rPr>
                <w:sz w:val="18"/>
                <w:szCs w:val="18"/>
              </w:rPr>
            </w:pPr>
            <w:r>
              <w:rPr>
                <w:sz w:val="18"/>
                <w:szCs w:val="18"/>
              </w:rPr>
              <w:t xml:space="preserve">2.217 </w:t>
            </w:r>
          </w:p>
        </w:tc>
        <w:tc>
          <w:tcPr>
            <w:tcW w:w="1134" w:type="dxa"/>
            <w:tcBorders>
              <w:top w:val="single" w:color="000000" w:sz="8" w:space="0"/>
              <w:left w:val="nil"/>
              <w:bottom w:val="single" w:color="000000" w:sz="8" w:space="0"/>
              <w:right w:val="nil"/>
            </w:tcBorders>
            <w:shd w:val="clear" w:color="auto" w:fill="FFFFFF"/>
            <w:tcMar>
              <w:top w:w="11" w:type="dxa"/>
              <w:left w:w="11" w:type="dxa"/>
              <w:bottom w:w="0" w:type="dxa"/>
              <w:right w:w="11" w:type="dxa"/>
            </w:tcMar>
          </w:tcPr>
          <w:p>
            <w:pPr>
              <w:rPr>
                <w:sz w:val="18"/>
                <w:szCs w:val="18"/>
              </w:rPr>
            </w:pPr>
            <w:r>
              <w:rPr>
                <w:sz w:val="18"/>
                <w:szCs w:val="18"/>
              </w:rPr>
              <w:t xml:space="preserve">3.425 </w:t>
            </w:r>
          </w:p>
        </w:tc>
      </w:tr>
      <w:tr>
        <w:tblPrEx>
          <w:tblCellMar>
            <w:top w:w="0" w:type="dxa"/>
            <w:left w:w="0" w:type="dxa"/>
            <w:bottom w:w="0" w:type="dxa"/>
            <w:right w:w="0" w:type="dxa"/>
          </w:tblCellMar>
        </w:tblPrEx>
        <w:trPr>
          <w:trHeight w:val="381" w:hRule="atLeast"/>
          <w:jc w:val="center"/>
        </w:trPr>
        <w:tc>
          <w:tcPr>
            <w:tcW w:w="567" w:type="dxa"/>
            <w:tcBorders>
              <w:top w:val="single" w:color="000000" w:sz="8" w:space="0"/>
              <w:left w:val="nil"/>
              <w:bottom w:val="single" w:color="000000" w:sz="8" w:space="0"/>
              <w:right w:val="nil"/>
            </w:tcBorders>
            <w:shd w:val="clear" w:color="auto" w:fill="FFFFFF"/>
          </w:tcPr>
          <w:p>
            <w:pPr>
              <w:rPr>
                <w:sz w:val="18"/>
                <w:szCs w:val="18"/>
              </w:rPr>
            </w:pPr>
            <w:r>
              <w:rPr>
                <w:rFonts w:hint="eastAsia"/>
                <w:sz w:val="18"/>
                <w:szCs w:val="18"/>
              </w:rPr>
              <w:t>(10)</w:t>
            </w:r>
          </w:p>
        </w:tc>
        <w:tc>
          <w:tcPr>
            <w:tcW w:w="2627" w:type="dxa"/>
            <w:tcBorders>
              <w:top w:val="single" w:color="000000" w:sz="8" w:space="0"/>
              <w:left w:val="nil"/>
              <w:bottom w:val="single" w:color="000000" w:sz="8" w:space="0"/>
              <w:right w:val="nil"/>
            </w:tcBorders>
            <w:shd w:val="clear" w:color="auto" w:fill="FFFFFF"/>
            <w:tcMar>
              <w:top w:w="11" w:type="dxa"/>
              <w:left w:w="11" w:type="dxa"/>
              <w:bottom w:w="0" w:type="dxa"/>
              <w:right w:w="11" w:type="dxa"/>
            </w:tcMar>
            <w:vAlign w:val="center"/>
          </w:tcPr>
          <w:p>
            <w:pPr>
              <w:rPr>
                <w:sz w:val="18"/>
                <w:szCs w:val="18"/>
              </w:rPr>
            </w:pPr>
            <w:r>
              <w:rPr>
                <w:sz w:val="18"/>
                <w:szCs w:val="18"/>
              </w:rPr>
              <w:t>pyridine</w:t>
            </w:r>
          </w:p>
        </w:tc>
        <w:tc>
          <w:tcPr>
            <w:tcW w:w="1201" w:type="dxa"/>
            <w:tcBorders>
              <w:top w:val="single" w:color="000000" w:sz="8" w:space="0"/>
              <w:left w:val="nil"/>
              <w:bottom w:val="single" w:color="000000" w:sz="8" w:space="0"/>
              <w:right w:val="nil"/>
            </w:tcBorders>
            <w:shd w:val="clear" w:color="auto" w:fill="FFFFFF"/>
            <w:tcMar>
              <w:top w:w="11" w:type="dxa"/>
              <w:left w:w="11" w:type="dxa"/>
              <w:bottom w:w="0" w:type="dxa"/>
              <w:right w:w="11" w:type="dxa"/>
            </w:tcMar>
          </w:tcPr>
          <w:p>
            <w:pPr>
              <w:rPr>
                <w:sz w:val="18"/>
                <w:szCs w:val="18"/>
              </w:rPr>
            </w:pPr>
            <w:r>
              <w:rPr>
                <w:sz w:val="18"/>
                <w:szCs w:val="18"/>
              </w:rPr>
              <w:t xml:space="preserve">-1.630 </w:t>
            </w:r>
          </w:p>
        </w:tc>
        <w:tc>
          <w:tcPr>
            <w:tcW w:w="1417" w:type="dxa"/>
            <w:tcBorders>
              <w:top w:val="single" w:color="000000" w:sz="8" w:space="0"/>
              <w:left w:val="nil"/>
              <w:bottom w:val="single" w:color="000000" w:sz="8" w:space="0"/>
              <w:right w:val="nil"/>
            </w:tcBorders>
            <w:shd w:val="clear" w:color="auto" w:fill="FFFFFF"/>
            <w:tcMar>
              <w:top w:w="11" w:type="dxa"/>
              <w:left w:w="11" w:type="dxa"/>
              <w:bottom w:w="0" w:type="dxa"/>
              <w:right w:w="11" w:type="dxa"/>
            </w:tcMar>
          </w:tcPr>
          <w:p>
            <w:pPr>
              <w:rPr>
                <w:sz w:val="18"/>
                <w:szCs w:val="18"/>
              </w:rPr>
            </w:pPr>
            <w:r>
              <w:rPr>
                <w:sz w:val="18"/>
                <w:szCs w:val="18"/>
              </w:rPr>
              <w:t xml:space="preserve">1.004 </w:t>
            </w:r>
          </w:p>
        </w:tc>
        <w:tc>
          <w:tcPr>
            <w:tcW w:w="1282" w:type="dxa"/>
            <w:tcBorders>
              <w:top w:val="single" w:color="000000" w:sz="8" w:space="0"/>
              <w:left w:val="nil"/>
              <w:bottom w:val="single" w:color="000000" w:sz="8" w:space="0"/>
              <w:right w:val="nil"/>
            </w:tcBorders>
            <w:shd w:val="clear" w:color="auto" w:fill="FFFFFF"/>
            <w:tcMar>
              <w:top w:w="11" w:type="dxa"/>
              <w:left w:w="11" w:type="dxa"/>
              <w:bottom w:w="0" w:type="dxa"/>
              <w:right w:w="11" w:type="dxa"/>
            </w:tcMar>
          </w:tcPr>
          <w:p>
            <w:pPr>
              <w:rPr>
                <w:sz w:val="18"/>
                <w:szCs w:val="18"/>
              </w:rPr>
            </w:pPr>
            <w:r>
              <w:rPr>
                <w:sz w:val="18"/>
                <w:szCs w:val="18"/>
              </w:rPr>
              <w:t xml:space="preserve">2.633 </w:t>
            </w:r>
          </w:p>
        </w:tc>
        <w:tc>
          <w:tcPr>
            <w:tcW w:w="1231" w:type="dxa"/>
            <w:tcBorders>
              <w:top w:val="single" w:color="000000" w:sz="8" w:space="0"/>
              <w:left w:val="nil"/>
              <w:bottom w:val="single" w:color="000000" w:sz="8" w:space="0"/>
              <w:right w:val="nil"/>
            </w:tcBorders>
            <w:shd w:val="clear" w:color="auto" w:fill="FFFFFF"/>
            <w:tcMar>
              <w:top w:w="11" w:type="dxa"/>
              <w:left w:w="11" w:type="dxa"/>
              <w:bottom w:w="0" w:type="dxa"/>
              <w:right w:w="11" w:type="dxa"/>
            </w:tcMar>
          </w:tcPr>
          <w:p>
            <w:pPr>
              <w:rPr>
                <w:sz w:val="18"/>
                <w:szCs w:val="18"/>
              </w:rPr>
            </w:pPr>
            <w:r>
              <w:rPr>
                <w:sz w:val="18"/>
                <w:szCs w:val="18"/>
              </w:rPr>
              <w:t xml:space="preserve">-0.498 </w:t>
            </w:r>
          </w:p>
        </w:tc>
        <w:tc>
          <w:tcPr>
            <w:tcW w:w="1399" w:type="dxa"/>
            <w:tcBorders>
              <w:top w:val="single" w:color="000000" w:sz="8" w:space="0"/>
              <w:left w:val="nil"/>
              <w:bottom w:val="single" w:color="000000" w:sz="8" w:space="0"/>
              <w:right w:val="nil"/>
            </w:tcBorders>
            <w:shd w:val="clear" w:color="auto" w:fill="FFFFFF"/>
            <w:tcMar>
              <w:top w:w="11" w:type="dxa"/>
              <w:left w:w="11" w:type="dxa"/>
              <w:bottom w:w="0" w:type="dxa"/>
              <w:right w:w="11" w:type="dxa"/>
            </w:tcMar>
          </w:tcPr>
          <w:p>
            <w:pPr>
              <w:rPr>
                <w:sz w:val="18"/>
                <w:szCs w:val="18"/>
              </w:rPr>
            </w:pPr>
            <w:r>
              <w:rPr>
                <w:sz w:val="18"/>
                <w:szCs w:val="18"/>
              </w:rPr>
              <w:t xml:space="preserve">0.313 </w:t>
            </w:r>
          </w:p>
        </w:tc>
        <w:tc>
          <w:tcPr>
            <w:tcW w:w="1106" w:type="dxa"/>
            <w:tcBorders>
              <w:top w:val="single" w:color="000000" w:sz="8" w:space="0"/>
              <w:left w:val="nil"/>
              <w:bottom w:val="single" w:color="000000" w:sz="8" w:space="0"/>
              <w:right w:val="nil"/>
            </w:tcBorders>
            <w:shd w:val="clear" w:color="auto" w:fill="FFFFFF"/>
            <w:tcMar>
              <w:top w:w="11" w:type="dxa"/>
              <w:left w:w="11" w:type="dxa"/>
              <w:bottom w:w="0" w:type="dxa"/>
              <w:right w:w="11" w:type="dxa"/>
            </w:tcMar>
          </w:tcPr>
          <w:p>
            <w:pPr>
              <w:rPr>
                <w:sz w:val="18"/>
                <w:szCs w:val="18"/>
              </w:rPr>
            </w:pPr>
            <w:r>
              <w:rPr>
                <w:sz w:val="18"/>
                <w:szCs w:val="18"/>
              </w:rPr>
              <w:t xml:space="preserve">0.812 </w:t>
            </w:r>
          </w:p>
        </w:tc>
        <w:tc>
          <w:tcPr>
            <w:tcW w:w="1037" w:type="dxa"/>
            <w:tcBorders>
              <w:top w:val="single" w:color="000000" w:sz="8" w:space="0"/>
              <w:left w:val="nil"/>
              <w:bottom w:val="single" w:color="000000" w:sz="8" w:space="0"/>
              <w:right w:val="nil"/>
            </w:tcBorders>
            <w:shd w:val="clear" w:color="auto" w:fill="FFFFFF"/>
            <w:tcMar>
              <w:top w:w="11" w:type="dxa"/>
              <w:left w:w="11" w:type="dxa"/>
              <w:bottom w:w="0" w:type="dxa"/>
              <w:right w:w="11" w:type="dxa"/>
            </w:tcMar>
          </w:tcPr>
          <w:p>
            <w:pPr>
              <w:rPr>
                <w:sz w:val="18"/>
                <w:szCs w:val="18"/>
              </w:rPr>
            </w:pPr>
            <w:r>
              <w:rPr>
                <w:sz w:val="18"/>
                <w:szCs w:val="18"/>
              </w:rPr>
              <w:t xml:space="preserve">4.297 </w:t>
            </w:r>
          </w:p>
        </w:tc>
        <w:tc>
          <w:tcPr>
            <w:tcW w:w="1090" w:type="dxa"/>
            <w:tcBorders>
              <w:top w:val="single" w:color="000000" w:sz="8" w:space="0"/>
              <w:left w:val="nil"/>
              <w:bottom w:val="single" w:color="000000" w:sz="8" w:space="0"/>
              <w:right w:val="nil"/>
            </w:tcBorders>
            <w:shd w:val="clear" w:color="auto" w:fill="FFFFFF"/>
            <w:tcMar>
              <w:top w:w="11" w:type="dxa"/>
              <w:left w:w="11" w:type="dxa"/>
              <w:bottom w:w="0" w:type="dxa"/>
              <w:right w:w="11" w:type="dxa"/>
            </w:tcMar>
          </w:tcPr>
          <w:p>
            <w:pPr>
              <w:rPr>
                <w:sz w:val="18"/>
                <w:szCs w:val="18"/>
              </w:rPr>
            </w:pPr>
            <w:r>
              <w:rPr>
                <w:sz w:val="18"/>
                <w:szCs w:val="18"/>
              </w:rPr>
              <w:t xml:space="preserve">1.539 </w:t>
            </w:r>
          </w:p>
        </w:tc>
        <w:tc>
          <w:tcPr>
            <w:tcW w:w="1134" w:type="dxa"/>
            <w:tcBorders>
              <w:top w:val="single" w:color="000000" w:sz="8" w:space="0"/>
              <w:left w:val="nil"/>
              <w:bottom w:val="single" w:color="000000" w:sz="8" w:space="0"/>
              <w:right w:val="nil"/>
            </w:tcBorders>
            <w:shd w:val="clear" w:color="auto" w:fill="FFFFFF"/>
            <w:tcMar>
              <w:top w:w="11" w:type="dxa"/>
              <w:left w:w="11" w:type="dxa"/>
              <w:bottom w:w="0" w:type="dxa"/>
              <w:right w:w="11" w:type="dxa"/>
            </w:tcMar>
          </w:tcPr>
          <w:p>
            <w:pPr>
              <w:rPr>
                <w:sz w:val="18"/>
                <w:szCs w:val="18"/>
              </w:rPr>
            </w:pPr>
            <w:r>
              <w:rPr>
                <w:sz w:val="18"/>
                <w:szCs w:val="18"/>
              </w:rPr>
              <w:t xml:space="preserve">5.836 </w:t>
            </w:r>
          </w:p>
        </w:tc>
      </w:tr>
      <w:tr>
        <w:tblPrEx>
          <w:tblCellMar>
            <w:top w:w="0" w:type="dxa"/>
            <w:left w:w="0" w:type="dxa"/>
            <w:bottom w:w="0" w:type="dxa"/>
            <w:right w:w="0" w:type="dxa"/>
          </w:tblCellMar>
        </w:tblPrEx>
        <w:trPr>
          <w:trHeight w:val="381" w:hRule="atLeast"/>
          <w:jc w:val="center"/>
        </w:trPr>
        <w:tc>
          <w:tcPr>
            <w:tcW w:w="567" w:type="dxa"/>
            <w:tcBorders>
              <w:top w:val="single" w:color="000000" w:sz="8" w:space="0"/>
              <w:left w:val="nil"/>
              <w:bottom w:val="single" w:color="000000" w:sz="8" w:space="0"/>
              <w:right w:val="nil"/>
            </w:tcBorders>
            <w:shd w:val="clear" w:color="auto" w:fill="FFFFFF"/>
          </w:tcPr>
          <w:p>
            <w:pPr>
              <w:rPr>
                <w:sz w:val="18"/>
                <w:szCs w:val="18"/>
              </w:rPr>
            </w:pPr>
            <w:r>
              <w:rPr>
                <w:rFonts w:hint="eastAsia"/>
                <w:sz w:val="18"/>
                <w:szCs w:val="18"/>
              </w:rPr>
              <w:t>(11)</w:t>
            </w:r>
          </w:p>
        </w:tc>
        <w:tc>
          <w:tcPr>
            <w:tcW w:w="2627" w:type="dxa"/>
            <w:tcBorders>
              <w:top w:val="single" w:color="000000" w:sz="8" w:space="0"/>
              <w:left w:val="nil"/>
              <w:bottom w:val="single" w:color="000000" w:sz="8" w:space="0"/>
              <w:right w:val="nil"/>
            </w:tcBorders>
            <w:shd w:val="clear" w:color="auto" w:fill="FFFFFF"/>
            <w:tcMar>
              <w:top w:w="11" w:type="dxa"/>
              <w:left w:w="11" w:type="dxa"/>
              <w:bottom w:w="0" w:type="dxa"/>
              <w:right w:w="11" w:type="dxa"/>
            </w:tcMar>
            <w:vAlign w:val="center"/>
          </w:tcPr>
          <w:p>
            <w:pPr>
              <w:rPr>
                <w:sz w:val="18"/>
                <w:szCs w:val="18"/>
              </w:rPr>
            </w:pPr>
            <w:r>
              <w:rPr>
                <w:sz w:val="18"/>
                <w:szCs w:val="18"/>
              </w:rPr>
              <w:t>lutidine</w:t>
            </w:r>
          </w:p>
        </w:tc>
        <w:tc>
          <w:tcPr>
            <w:tcW w:w="1201" w:type="dxa"/>
            <w:tcBorders>
              <w:top w:val="single" w:color="000000" w:sz="8" w:space="0"/>
              <w:left w:val="nil"/>
              <w:bottom w:val="single" w:color="000000" w:sz="8" w:space="0"/>
              <w:right w:val="nil"/>
            </w:tcBorders>
            <w:shd w:val="clear" w:color="auto" w:fill="FFFFFF"/>
            <w:tcMar>
              <w:top w:w="11" w:type="dxa"/>
              <w:left w:w="11" w:type="dxa"/>
              <w:bottom w:w="0" w:type="dxa"/>
              <w:right w:w="11" w:type="dxa"/>
            </w:tcMar>
          </w:tcPr>
          <w:p>
            <w:pPr>
              <w:rPr>
                <w:sz w:val="18"/>
                <w:szCs w:val="18"/>
              </w:rPr>
            </w:pPr>
            <w:r>
              <w:rPr>
                <w:sz w:val="18"/>
                <w:szCs w:val="18"/>
              </w:rPr>
              <w:t xml:space="preserve">-1.590 </w:t>
            </w:r>
          </w:p>
        </w:tc>
        <w:tc>
          <w:tcPr>
            <w:tcW w:w="1417" w:type="dxa"/>
            <w:tcBorders>
              <w:top w:val="single" w:color="000000" w:sz="8" w:space="0"/>
              <w:left w:val="nil"/>
              <w:bottom w:val="single" w:color="000000" w:sz="8" w:space="0"/>
              <w:right w:val="nil"/>
            </w:tcBorders>
            <w:shd w:val="clear" w:color="auto" w:fill="FFFFFF"/>
            <w:tcMar>
              <w:top w:w="11" w:type="dxa"/>
              <w:left w:w="11" w:type="dxa"/>
              <w:bottom w:w="0" w:type="dxa"/>
              <w:right w:w="11" w:type="dxa"/>
            </w:tcMar>
          </w:tcPr>
          <w:p>
            <w:pPr>
              <w:rPr>
                <w:sz w:val="18"/>
                <w:szCs w:val="18"/>
              </w:rPr>
            </w:pPr>
            <w:r>
              <w:rPr>
                <w:sz w:val="18"/>
                <w:szCs w:val="18"/>
              </w:rPr>
              <w:t xml:space="preserve">0.876 </w:t>
            </w:r>
          </w:p>
        </w:tc>
        <w:tc>
          <w:tcPr>
            <w:tcW w:w="1282" w:type="dxa"/>
            <w:tcBorders>
              <w:top w:val="single" w:color="000000" w:sz="8" w:space="0"/>
              <w:left w:val="nil"/>
              <w:bottom w:val="single" w:color="000000" w:sz="8" w:space="0"/>
              <w:right w:val="nil"/>
            </w:tcBorders>
            <w:shd w:val="clear" w:color="auto" w:fill="FFFFFF"/>
            <w:tcMar>
              <w:top w:w="11" w:type="dxa"/>
              <w:left w:w="11" w:type="dxa"/>
              <w:bottom w:w="0" w:type="dxa"/>
              <w:right w:w="11" w:type="dxa"/>
            </w:tcMar>
          </w:tcPr>
          <w:p>
            <w:pPr>
              <w:rPr>
                <w:sz w:val="18"/>
                <w:szCs w:val="18"/>
              </w:rPr>
            </w:pPr>
            <w:r>
              <w:rPr>
                <w:sz w:val="18"/>
                <w:szCs w:val="18"/>
              </w:rPr>
              <w:t xml:space="preserve">2.467 </w:t>
            </w:r>
          </w:p>
        </w:tc>
        <w:tc>
          <w:tcPr>
            <w:tcW w:w="1231" w:type="dxa"/>
            <w:tcBorders>
              <w:top w:val="single" w:color="000000" w:sz="8" w:space="0"/>
              <w:left w:val="nil"/>
              <w:bottom w:val="single" w:color="000000" w:sz="8" w:space="0"/>
              <w:right w:val="nil"/>
            </w:tcBorders>
            <w:shd w:val="clear" w:color="auto" w:fill="FFFFFF"/>
            <w:tcMar>
              <w:top w:w="11" w:type="dxa"/>
              <w:left w:w="11" w:type="dxa"/>
              <w:bottom w:w="0" w:type="dxa"/>
              <w:right w:w="11" w:type="dxa"/>
            </w:tcMar>
          </w:tcPr>
          <w:p>
            <w:pPr>
              <w:rPr>
                <w:sz w:val="18"/>
                <w:szCs w:val="18"/>
              </w:rPr>
            </w:pPr>
            <w:r>
              <w:rPr>
                <w:sz w:val="18"/>
                <w:szCs w:val="18"/>
              </w:rPr>
              <w:t xml:space="preserve">-0.480 </w:t>
            </w:r>
          </w:p>
        </w:tc>
        <w:tc>
          <w:tcPr>
            <w:tcW w:w="1399" w:type="dxa"/>
            <w:tcBorders>
              <w:top w:val="single" w:color="000000" w:sz="8" w:space="0"/>
              <w:left w:val="nil"/>
              <w:bottom w:val="single" w:color="000000" w:sz="8" w:space="0"/>
              <w:right w:val="nil"/>
            </w:tcBorders>
            <w:shd w:val="clear" w:color="auto" w:fill="FFFFFF"/>
            <w:tcMar>
              <w:top w:w="11" w:type="dxa"/>
              <w:left w:w="11" w:type="dxa"/>
              <w:bottom w:w="0" w:type="dxa"/>
              <w:right w:w="11" w:type="dxa"/>
            </w:tcMar>
          </w:tcPr>
          <w:p>
            <w:pPr>
              <w:rPr>
                <w:sz w:val="18"/>
                <w:szCs w:val="18"/>
              </w:rPr>
            </w:pPr>
            <w:r>
              <w:rPr>
                <w:sz w:val="18"/>
                <w:szCs w:val="18"/>
              </w:rPr>
              <w:t xml:space="preserve">0.493 </w:t>
            </w:r>
          </w:p>
        </w:tc>
        <w:tc>
          <w:tcPr>
            <w:tcW w:w="1106" w:type="dxa"/>
            <w:tcBorders>
              <w:top w:val="single" w:color="000000" w:sz="8" w:space="0"/>
              <w:left w:val="nil"/>
              <w:bottom w:val="single" w:color="000000" w:sz="8" w:space="0"/>
              <w:right w:val="nil"/>
            </w:tcBorders>
            <w:shd w:val="clear" w:color="auto" w:fill="FFFFFF"/>
            <w:tcMar>
              <w:top w:w="11" w:type="dxa"/>
              <w:left w:w="11" w:type="dxa"/>
              <w:bottom w:w="0" w:type="dxa"/>
              <w:right w:w="11" w:type="dxa"/>
            </w:tcMar>
          </w:tcPr>
          <w:p>
            <w:pPr>
              <w:rPr>
                <w:sz w:val="18"/>
                <w:szCs w:val="18"/>
              </w:rPr>
            </w:pPr>
            <w:r>
              <w:rPr>
                <w:sz w:val="18"/>
                <w:szCs w:val="18"/>
              </w:rPr>
              <w:t xml:space="preserve">0.974 </w:t>
            </w:r>
          </w:p>
        </w:tc>
        <w:tc>
          <w:tcPr>
            <w:tcW w:w="1037" w:type="dxa"/>
            <w:tcBorders>
              <w:top w:val="single" w:color="000000" w:sz="8" w:space="0"/>
              <w:left w:val="nil"/>
              <w:bottom w:val="single" w:color="000000" w:sz="8" w:space="0"/>
              <w:right w:val="nil"/>
            </w:tcBorders>
            <w:shd w:val="clear" w:color="auto" w:fill="FFFFFF"/>
            <w:tcMar>
              <w:top w:w="11" w:type="dxa"/>
              <w:left w:w="11" w:type="dxa"/>
              <w:bottom w:w="0" w:type="dxa"/>
              <w:right w:w="11" w:type="dxa"/>
            </w:tcMar>
          </w:tcPr>
          <w:p>
            <w:pPr>
              <w:rPr>
                <w:sz w:val="18"/>
                <w:szCs w:val="18"/>
              </w:rPr>
            </w:pPr>
            <w:r>
              <w:rPr>
                <w:sz w:val="18"/>
                <w:szCs w:val="18"/>
              </w:rPr>
              <w:t xml:space="preserve">3.383 </w:t>
            </w:r>
          </w:p>
        </w:tc>
        <w:tc>
          <w:tcPr>
            <w:tcW w:w="1090" w:type="dxa"/>
            <w:tcBorders>
              <w:top w:val="single" w:color="000000" w:sz="8" w:space="0"/>
              <w:left w:val="nil"/>
              <w:bottom w:val="single" w:color="000000" w:sz="8" w:space="0"/>
              <w:right w:val="nil"/>
            </w:tcBorders>
            <w:shd w:val="clear" w:color="auto" w:fill="FFFFFF"/>
            <w:tcMar>
              <w:top w:w="11" w:type="dxa"/>
              <w:left w:w="11" w:type="dxa"/>
              <w:bottom w:w="0" w:type="dxa"/>
              <w:right w:w="11" w:type="dxa"/>
            </w:tcMar>
          </w:tcPr>
          <w:p>
            <w:pPr>
              <w:rPr>
                <w:sz w:val="18"/>
                <w:szCs w:val="18"/>
              </w:rPr>
            </w:pPr>
            <w:r>
              <w:rPr>
                <w:sz w:val="18"/>
                <w:szCs w:val="18"/>
              </w:rPr>
              <w:t xml:space="preserve">1.153 </w:t>
            </w:r>
          </w:p>
        </w:tc>
        <w:tc>
          <w:tcPr>
            <w:tcW w:w="1134" w:type="dxa"/>
            <w:tcBorders>
              <w:top w:val="single" w:color="000000" w:sz="8" w:space="0"/>
              <w:left w:val="nil"/>
              <w:bottom w:val="single" w:color="000000" w:sz="8" w:space="0"/>
              <w:right w:val="nil"/>
            </w:tcBorders>
            <w:shd w:val="clear" w:color="auto" w:fill="FFFFFF"/>
            <w:tcMar>
              <w:top w:w="11" w:type="dxa"/>
              <w:left w:w="11" w:type="dxa"/>
              <w:bottom w:w="0" w:type="dxa"/>
              <w:right w:w="11" w:type="dxa"/>
            </w:tcMar>
          </w:tcPr>
          <w:p>
            <w:pPr>
              <w:rPr>
                <w:sz w:val="18"/>
                <w:szCs w:val="18"/>
              </w:rPr>
            </w:pPr>
            <w:r>
              <w:rPr>
                <w:sz w:val="18"/>
                <w:szCs w:val="18"/>
              </w:rPr>
              <w:t xml:space="preserve">4.536 </w:t>
            </w:r>
          </w:p>
        </w:tc>
      </w:tr>
      <w:tr>
        <w:tblPrEx>
          <w:tblCellMar>
            <w:top w:w="0" w:type="dxa"/>
            <w:left w:w="0" w:type="dxa"/>
            <w:bottom w:w="0" w:type="dxa"/>
            <w:right w:w="0" w:type="dxa"/>
          </w:tblCellMar>
        </w:tblPrEx>
        <w:trPr>
          <w:trHeight w:val="381" w:hRule="atLeast"/>
          <w:jc w:val="center"/>
        </w:trPr>
        <w:tc>
          <w:tcPr>
            <w:tcW w:w="567" w:type="dxa"/>
            <w:tcBorders>
              <w:top w:val="single" w:color="000000" w:sz="8" w:space="0"/>
              <w:left w:val="nil"/>
              <w:bottom w:val="single" w:color="000000" w:sz="8" w:space="0"/>
              <w:right w:val="nil"/>
            </w:tcBorders>
            <w:shd w:val="clear" w:color="auto" w:fill="FFFFFF"/>
          </w:tcPr>
          <w:p>
            <w:pPr>
              <w:rPr>
                <w:sz w:val="18"/>
                <w:szCs w:val="18"/>
              </w:rPr>
            </w:pPr>
            <w:r>
              <w:rPr>
                <w:rFonts w:hint="eastAsia"/>
                <w:sz w:val="18"/>
                <w:szCs w:val="18"/>
              </w:rPr>
              <w:t>(12)</w:t>
            </w:r>
          </w:p>
        </w:tc>
        <w:tc>
          <w:tcPr>
            <w:tcW w:w="2627" w:type="dxa"/>
            <w:tcBorders>
              <w:top w:val="single" w:color="000000" w:sz="8" w:space="0"/>
              <w:left w:val="nil"/>
              <w:bottom w:val="single" w:color="000000" w:sz="8" w:space="0"/>
              <w:right w:val="nil"/>
            </w:tcBorders>
            <w:shd w:val="clear" w:color="auto" w:fill="FFFFFF"/>
            <w:tcMar>
              <w:top w:w="11" w:type="dxa"/>
              <w:left w:w="11" w:type="dxa"/>
              <w:bottom w:w="0" w:type="dxa"/>
              <w:right w:w="11" w:type="dxa"/>
            </w:tcMar>
            <w:vAlign w:val="center"/>
          </w:tcPr>
          <w:p>
            <w:pPr>
              <w:rPr>
                <w:sz w:val="18"/>
                <w:szCs w:val="18"/>
              </w:rPr>
            </w:pPr>
            <w:r>
              <w:rPr>
                <w:sz w:val="18"/>
                <w:szCs w:val="18"/>
              </w:rPr>
              <w:t>Acetylpyridine</w:t>
            </w:r>
          </w:p>
        </w:tc>
        <w:tc>
          <w:tcPr>
            <w:tcW w:w="1201" w:type="dxa"/>
            <w:tcBorders>
              <w:top w:val="single" w:color="000000" w:sz="8" w:space="0"/>
              <w:left w:val="nil"/>
              <w:bottom w:val="single" w:color="000000" w:sz="8" w:space="0"/>
              <w:right w:val="nil"/>
            </w:tcBorders>
            <w:shd w:val="clear" w:color="auto" w:fill="FFFFFF"/>
            <w:tcMar>
              <w:top w:w="11" w:type="dxa"/>
              <w:left w:w="11" w:type="dxa"/>
              <w:bottom w:w="0" w:type="dxa"/>
              <w:right w:w="11" w:type="dxa"/>
            </w:tcMar>
          </w:tcPr>
          <w:p>
            <w:pPr>
              <w:rPr>
                <w:sz w:val="18"/>
                <w:szCs w:val="18"/>
              </w:rPr>
            </w:pPr>
            <w:r>
              <w:rPr>
                <w:sz w:val="18"/>
                <w:szCs w:val="18"/>
              </w:rPr>
              <w:t xml:space="preserve">-1.657 </w:t>
            </w:r>
          </w:p>
        </w:tc>
        <w:tc>
          <w:tcPr>
            <w:tcW w:w="1417" w:type="dxa"/>
            <w:tcBorders>
              <w:top w:val="single" w:color="000000" w:sz="8" w:space="0"/>
              <w:left w:val="nil"/>
              <w:bottom w:val="single" w:color="000000" w:sz="8" w:space="0"/>
              <w:right w:val="nil"/>
            </w:tcBorders>
            <w:shd w:val="clear" w:color="auto" w:fill="FFFFFF"/>
            <w:tcMar>
              <w:top w:w="11" w:type="dxa"/>
              <w:left w:w="11" w:type="dxa"/>
              <w:bottom w:w="0" w:type="dxa"/>
              <w:right w:w="11" w:type="dxa"/>
            </w:tcMar>
          </w:tcPr>
          <w:p>
            <w:pPr>
              <w:rPr>
                <w:sz w:val="18"/>
                <w:szCs w:val="18"/>
              </w:rPr>
            </w:pPr>
            <w:r>
              <w:rPr>
                <w:sz w:val="18"/>
                <w:szCs w:val="18"/>
              </w:rPr>
              <w:t xml:space="preserve">1.134 </w:t>
            </w:r>
          </w:p>
        </w:tc>
        <w:tc>
          <w:tcPr>
            <w:tcW w:w="1282" w:type="dxa"/>
            <w:tcBorders>
              <w:top w:val="single" w:color="000000" w:sz="8" w:space="0"/>
              <w:left w:val="nil"/>
              <w:bottom w:val="single" w:color="000000" w:sz="8" w:space="0"/>
              <w:right w:val="nil"/>
            </w:tcBorders>
            <w:shd w:val="clear" w:color="auto" w:fill="FFFFFF"/>
            <w:tcMar>
              <w:top w:w="11" w:type="dxa"/>
              <w:left w:w="11" w:type="dxa"/>
              <w:bottom w:w="0" w:type="dxa"/>
              <w:right w:w="11" w:type="dxa"/>
            </w:tcMar>
          </w:tcPr>
          <w:p>
            <w:pPr>
              <w:rPr>
                <w:sz w:val="18"/>
                <w:szCs w:val="18"/>
              </w:rPr>
            </w:pPr>
            <w:r>
              <w:rPr>
                <w:sz w:val="18"/>
                <w:szCs w:val="18"/>
              </w:rPr>
              <w:t xml:space="preserve">2.791 </w:t>
            </w:r>
          </w:p>
        </w:tc>
        <w:tc>
          <w:tcPr>
            <w:tcW w:w="1231" w:type="dxa"/>
            <w:tcBorders>
              <w:top w:val="single" w:color="000000" w:sz="8" w:space="0"/>
              <w:left w:val="nil"/>
              <w:bottom w:val="single" w:color="000000" w:sz="8" w:space="0"/>
              <w:right w:val="nil"/>
            </w:tcBorders>
            <w:shd w:val="clear" w:color="auto" w:fill="FFFFFF"/>
            <w:tcMar>
              <w:top w:w="11" w:type="dxa"/>
              <w:left w:w="11" w:type="dxa"/>
              <w:bottom w:w="0" w:type="dxa"/>
              <w:right w:w="11" w:type="dxa"/>
            </w:tcMar>
          </w:tcPr>
          <w:p>
            <w:pPr>
              <w:rPr>
                <w:sz w:val="18"/>
                <w:szCs w:val="18"/>
              </w:rPr>
            </w:pPr>
            <w:r>
              <w:rPr>
                <w:sz w:val="18"/>
                <w:szCs w:val="18"/>
              </w:rPr>
              <w:t xml:space="preserve">-0.608 </w:t>
            </w:r>
          </w:p>
        </w:tc>
        <w:tc>
          <w:tcPr>
            <w:tcW w:w="1399" w:type="dxa"/>
            <w:tcBorders>
              <w:top w:val="single" w:color="000000" w:sz="8" w:space="0"/>
              <w:left w:val="nil"/>
              <w:bottom w:val="single" w:color="000000" w:sz="8" w:space="0"/>
              <w:right w:val="nil"/>
            </w:tcBorders>
            <w:shd w:val="clear" w:color="auto" w:fill="FFFFFF"/>
            <w:tcMar>
              <w:top w:w="11" w:type="dxa"/>
              <w:left w:w="11" w:type="dxa"/>
              <w:bottom w:w="0" w:type="dxa"/>
              <w:right w:w="11" w:type="dxa"/>
            </w:tcMar>
          </w:tcPr>
          <w:p>
            <w:pPr>
              <w:rPr>
                <w:sz w:val="18"/>
                <w:szCs w:val="18"/>
              </w:rPr>
            </w:pPr>
            <w:r>
              <w:rPr>
                <w:sz w:val="18"/>
                <w:szCs w:val="18"/>
              </w:rPr>
              <w:t xml:space="preserve">0.312 </w:t>
            </w:r>
          </w:p>
        </w:tc>
        <w:tc>
          <w:tcPr>
            <w:tcW w:w="1106" w:type="dxa"/>
            <w:tcBorders>
              <w:top w:val="single" w:color="000000" w:sz="8" w:space="0"/>
              <w:left w:val="nil"/>
              <w:bottom w:val="single" w:color="000000" w:sz="8" w:space="0"/>
              <w:right w:val="nil"/>
            </w:tcBorders>
            <w:shd w:val="clear" w:color="auto" w:fill="FFFFFF"/>
            <w:tcMar>
              <w:top w:w="11" w:type="dxa"/>
              <w:left w:w="11" w:type="dxa"/>
              <w:bottom w:w="0" w:type="dxa"/>
              <w:right w:w="11" w:type="dxa"/>
            </w:tcMar>
          </w:tcPr>
          <w:p>
            <w:pPr>
              <w:rPr>
                <w:sz w:val="18"/>
                <w:szCs w:val="18"/>
              </w:rPr>
            </w:pPr>
            <w:r>
              <w:rPr>
                <w:sz w:val="18"/>
                <w:szCs w:val="18"/>
              </w:rPr>
              <w:t xml:space="preserve">0.920 </w:t>
            </w:r>
          </w:p>
        </w:tc>
        <w:tc>
          <w:tcPr>
            <w:tcW w:w="1037" w:type="dxa"/>
            <w:tcBorders>
              <w:top w:val="single" w:color="000000" w:sz="8" w:space="0"/>
              <w:left w:val="nil"/>
              <w:bottom w:val="single" w:color="000000" w:sz="8" w:space="0"/>
              <w:right w:val="nil"/>
            </w:tcBorders>
            <w:shd w:val="clear" w:color="auto" w:fill="FFFFFF"/>
            <w:tcMar>
              <w:top w:w="11" w:type="dxa"/>
              <w:left w:w="11" w:type="dxa"/>
              <w:bottom w:w="0" w:type="dxa"/>
              <w:right w:w="11" w:type="dxa"/>
            </w:tcMar>
          </w:tcPr>
          <w:p>
            <w:pPr>
              <w:rPr>
                <w:sz w:val="18"/>
                <w:szCs w:val="18"/>
              </w:rPr>
            </w:pPr>
            <w:r>
              <w:rPr>
                <w:sz w:val="18"/>
                <w:szCs w:val="18"/>
              </w:rPr>
              <w:t xml:space="preserve">6.132 </w:t>
            </w:r>
          </w:p>
        </w:tc>
        <w:tc>
          <w:tcPr>
            <w:tcW w:w="1090" w:type="dxa"/>
            <w:tcBorders>
              <w:top w:val="single" w:color="000000" w:sz="8" w:space="0"/>
              <w:left w:val="nil"/>
              <w:bottom w:val="single" w:color="000000" w:sz="8" w:space="0"/>
              <w:right w:val="nil"/>
            </w:tcBorders>
            <w:shd w:val="clear" w:color="auto" w:fill="FFFFFF"/>
            <w:tcMar>
              <w:top w:w="11" w:type="dxa"/>
              <w:left w:w="11" w:type="dxa"/>
              <w:bottom w:w="0" w:type="dxa"/>
              <w:right w:w="11" w:type="dxa"/>
            </w:tcMar>
          </w:tcPr>
          <w:p>
            <w:pPr>
              <w:rPr>
                <w:sz w:val="18"/>
                <w:szCs w:val="18"/>
              </w:rPr>
            </w:pPr>
            <w:r>
              <w:rPr>
                <w:sz w:val="18"/>
                <w:szCs w:val="18"/>
              </w:rPr>
              <w:t xml:space="preserve">2.114 </w:t>
            </w:r>
          </w:p>
        </w:tc>
        <w:tc>
          <w:tcPr>
            <w:tcW w:w="1134" w:type="dxa"/>
            <w:tcBorders>
              <w:top w:val="single" w:color="000000" w:sz="8" w:space="0"/>
              <w:left w:val="nil"/>
              <w:bottom w:val="single" w:color="000000" w:sz="8" w:space="0"/>
              <w:right w:val="nil"/>
            </w:tcBorders>
            <w:shd w:val="clear" w:color="auto" w:fill="FFFFFF"/>
            <w:tcMar>
              <w:top w:w="11" w:type="dxa"/>
              <w:left w:w="11" w:type="dxa"/>
              <w:bottom w:w="0" w:type="dxa"/>
              <w:right w:w="11" w:type="dxa"/>
            </w:tcMar>
          </w:tcPr>
          <w:p>
            <w:pPr>
              <w:rPr>
                <w:sz w:val="18"/>
                <w:szCs w:val="18"/>
              </w:rPr>
            </w:pPr>
            <w:r>
              <w:rPr>
                <w:sz w:val="18"/>
                <w:szCs w:val="18"/>
              </w:rPr>
              <w:t xml:space="preserve">8.246 </w:t>
            </w:r>
          </w:p>
        </w:tc>
      </w:tr>
      <w:tr>
        <w:tblPrEx>
          <w:tblCellMar>
            <w:top w:w="0" w:type="dxa"/>
            <w:left w:w="0" w:type="dxa"/>
            <w:bottom w:w="0" w:type="dxa"/>
            <w:right w:w="0" w:type="dxa"/>
          </w:tblCellMar>
        </w:tblPrEx>
        <w:trPr>
          <w:trHeight w:val="381" w:hRule="atLeast"/>
          <w:jc w:val="center"/>
        </w:trPr>
        <w:tc>
          <w:tcPr>
            <w:tcW w:w="567" w:type="dxa"/>
            <w:tcBorders>
              <w:top w:val="single" w:color="000000" w:sz="8" w:space="0"/>
              <w:left w:val="nil"/>
              <w:bottom w:val="single" w:color="000000" w:sz="8" w:space="0"/>
              <w:right w:val="nil"/>
            </w:tcBorders>
            <w:shd w:val="clear" w:color="auto" w:fill="FFFFFF"/>
          </w:tcPr>
          <w:p>
            <w:pPr>
              <w:rPr>
                <w:sz w:val="18"/>
                <w:szCs w:val="18"/>
              </w:rPr>
            </w:pPr>
            <w:r>
              <w:rPr>
                <w:rFonts w:hint="eastAsia"/>
                <w:sz w:val="18"/>
                <w:szCs w:val="18"/>
              </w:rPr>
              <w:t>(13)</w:t>
            </w:r>
          </w:p>
        </w:tc>
        <w:tc>
          <w:tcPr>
            <w:tcW w:w="2627" w:type="dxa"/>
            <w:tcBorders>
              <w:top w:val="single" w:color="000000" w:sz="8" w:space="0"/>
              <w:left w:val="nil"/>
              <w:bottom w:val="single" w:color="000000" w:sz="8" w:space="0"/>
              <w:right w:val="nil"/>
            </w:tcBorders>
            <w:shd w:val="clear" w:color="auto" w:fill="FFFFFF"/>
            <w:tcMar>
              <w:top w:w="11" w:type="dxa"/>
              <w:left w:w="11" w:type="dxa"/>
              <w:bottom w:w="0" w:type="dxa"/>
              <w:right w:w="11" w:type="dxa"/>
            </w:tcMar>
            <w:vAlign w:val="center"/>
          </w:tcPr>
          <w:p>
            <w:pPr>
              <w:rPr>
                <w:sz w:val="18"/>
                <w:szCs w:val="18"/>
              </w:rPr>
            </w:pPr>
            <w:r>
              <w:rPr>
                <w:sz w:val="18"/>
                <w:szCs w:val="18"/>
              </w:rPr>
              <w:t>Diacetylpyridine</w:t>
            </w:r>
          </w:p>
        </w:tc>
        <w:tc>
          <w:tcPr>
            <w:tcW w:w="1201" w:type="dxa"/>
            <w:tcBorders>
              <w:top w:val="single" w:color="000000" w:sz="8" w:space="0"/>
              <w:left w:val="nil"/>
              <w:bottom w:val="single" w:color="000000" w:sz="8" w:space="0"/>
              <w:right w:val="nil"/>
            </w:tcBorders>
            <w:shd w:val="clear" w:color="auto" w:fill="FFFFFF"/>
            <w:tcMar>
              <w:top w:w="11" w:type="dxa"/>
              <w:left w:w="11" w:type="dxa"/>
              <w:bottom w:w="0" w:type="dxa"/>
              <w:right w:w="11" w:type="dxa"/>
            </w:tcMar>
            <w:vAlign w:val="center"/>
          </w:tcPr>
          <w:p>
            <w:pPr>
              <w:rPr>
                <w:sz w:val="18"/>
                <w:szCs w:val="18"/>
              </w:rPr>
            </w:pPr>
            <w:r>
              <w:rPr>
                <w:sz w:val="18"/>
                <w:szCs w:val="18"/>
              </w:rPr>
              <w:t xml:space="preserve">-1.981 </w:t>
            </w:r>
          </w:p>
        </w:tc>
        <w:tc>
          <w:tcPr>
            <w:tcW w:w="1417" w:type="dxa"/>
            <w:tcBorders>
              <w:top w:val="single" w:color="000000" w:sz="8" w:space="0"/>
              <w:left w:val="nil"/>
              <w:bottom w:val="single" w:color="000000" w:sz="8" w:space="0"/>
              <w:right w:val="nil"/>
            </w:tcBorders>
            <w:shd w:val="clear" w:color="auto" w:fill="FFFFFF"/>
            <w:tcMar>
              <w:top w:w="11" w:type="dxa"/>
              <w:left w:w="11" w:type="dxa"/>
              <w:bottom w:w="0" w:type="dxa"/>
              <w:right w:w="11" w:type="dxa"/>
            </w:tcMar>
            <w:vAlign w:val="center"/>
          </w:tcPr>
          <w:p>
            <w:pPr>
              <w:rPr>
                <w:sz w:val="18"/>
                <w:szCs w:val="18"/>
              </w:rPr>
            </w:pPr>
            <w:r>
              <w:rPr>
                <w:sz w:val="18"/>
                <w:szCs w:val="18"/>
              </w:rPr>
              <w:t xml:space="preserve">1.236 </w:t>
            </w:r>
          </w:p>
        </w:tc>
        <w:tc>
          <w:tcPr>
            <w:tcW w:w="1282" w:type="dxa"/>
            <w:tcBorders>
              <w:top w:val="single" w:color="000000" w:sz="8" w:space="0"/>
              <w:left w:val="nil"/>
              <w:bottom w:val="single" w:color="000000" w:sz="8" w:space="0"/>
              <w:right w:val="nil"/>
            </w:tcBorders>
            <w:shd w:val="clear" w:color="auto" w:fill="FFFFFF"/>
            <w:tcMar>
              <w:top w:w="11" w:type="dxa"/>
              <w:left w:w="11" w:type="dxa"/>
              <w:bottom w:w="0" w:type="dxa"/>
              <w:right w:w="11" w:type="dxa"/>
            </w:tcMar>
          </w:tcPr>
          <w:p>
            <w:pPr>
              <w:rPr>
                <w:sz w:val="18"/>
                <w:szCs w:val="18"/>
              </w:rPr>
            </w:pPr>
            <w:r>
              <w:rPr>
                <w:sz w:val="18"/>
                <w:szCs w:val="18"/>
              </w:rPr>
              <w:t xml:space="preserve">2.703 </w:t>
            </w:r>
          </w:p>
        </w:tc>
        <w:tc>
          <w:tcPr>
            <w:tcW w:w="1231" w:type="dxa"/>
            <w:tcBorders>
              <w:top w:val="single" w:color="000000" w:sz="8" w:space="0"/>
              <w:left w:val="nil"/>
              <w:bottom w:val="single" w:color="000000" w:sz="8" w:space="0"/>
              <w:right w:val="nil"/>
            </w:tcBorders>
            <w:shd w:val="clear" w:color="auto" w:fill="FFFFFF"/>
            <w:tcMar>
              <w:top w:w="11" w:type="dxa"/>
              <w:left w:w="11" w:type="dxa"/>
              <w:bottom w:w="0" w:type="dxa"/>
              <w:right w:w="11" w:type="dxa"/>
            </w:tcMar>
          </w:tcPr>
          <w:p>
            <w:pPr>
              <w:rPr>
                <w:sz w:val="18"/>
                <w:szCs w:val="18"/>
              </w:rPr>
            </w:pPr>
            <w:r>
              <w:rPr>
                <w:sz w:val="18"/>
                <w:szCs w:val="18"/>
              </w:rPr>
              <w:t xml:space="preserve">-0.395 </w:t>
            </w:r>
          </w:p>
        </w:tc>
        <w:tc>
          <w:tcPr>
            <w:tcW w:w="1399" w:type="dxa"/>
            <w:tcBorders>
              <w:top w:val="single" w:color="000000" w:sz="8" w:space="0"/>
              <w:left w:val="nil"/>
              <w:bottom w:val="single" w:color="000000" w:sz="8" w:space="0"/>
              <w:right w:val="nil"/>
            </w:tcBorders>
            <w:shd w:val="clear" w:color="auto" w:fill="FFFFFF"/>
            <w:tcMar>
              <w:top w:w="11" w:type="dxa"/>
              <w:left w:w="11" w:type="dxa"/>
              <w:bottom w:w="0" w:type="dxa"/>
              <w:right w:w="11" w:type="dxa"/>
            </w:tcMar>
          </w:tcPr>
          <w:p>
            <w:pPr>
              <w:rPr>
                <w:sz w:val="18"/>
                <w:szCs w:val="18"/>
              </w:rPr>
            </w:pPr>
            <w:r>
              <w:rPr>
                <w:sz w:val="18"/>
                <w:szCs w:val="18"/>
              </w:rPr>
              <w:t xml:space="preserve">0.283 </w:t>
            </w:r>
          </w:p>
        </w:tc>
        <w:tc>
          <w:tcPr>
            <w:tcW w:w="1106" w:type="dxa"/>
            <w:tcBorders>
              <w:top w:val="single" w:color="000000" w:sz="8" w:space="0"/>
              <w:left w:val="nil"/>
              <w:bottom w:val="single" w:color="000000" w:sz="8" w:space="0"/>
              <w:right w:val="nil"/>
            </w:tcBorders>
            <w:shd w:val="clear" w:color="auto" w:fill="FFFFFF"/>
            <w:tcMar>
              <w:top w:w="11" w:type="dxa"/>
              <w:left w:w="11" w:type="dxa"/>
              <w:bottom w:w="0" w:type="dxa"/>
              <w:right w:w="11" w:type="dxa"/>
            </w:tcMar>
          </w:tcPr>
          <w:p>
            <w:pPr>
              <w:rPr>
                <w:sz w:val="18"/>
                <w:szCs w:val="18"/>
              </w:rPr>
            </w:pPr>
            <w:r>
              <w:rPr>
                <w:sz w:val="18"/>
                <w:szCs w:val="18"/>
              </w:rPr>
              <w:t xml:space="preserve">0.679 </w:t>
            </w:r>
          </w:p>
        </w:tc>
        <w:tc>
          <w:tcPr>
            <w:tcW w:w="1037" w:type="dxa"/>
            <w:tcBorders>
              <w:top w:val="single" w:color="000000" w:sz="8" w:space="0"/>
              <w:left w:val="nil"/>
              <w:bottom w:val="single" w:color="000000" w:sz="8" w:space="0"/>
              <w:right w:val="nil"/>
            </w:tcBorders>
            <w:shd w:val="clear" w:color="auto" w:fill="FFFFFF"/>
            <w:tcMar>
              <w:top w:w="11" w:type="dxa"/>
              <w:left w:w="11" w:type="dxa"/>
              <w:bottom w:w="0" w:type="dxa"/>
              <w:right w:w="11" w:type="dxa"/>
            </w:tcMar>
          </w:tcPr>
          <w:p>
            <w:pPr>
              <w:rPr>
                <w:sz w:val="18"/>
                <w:szCs w:val="18"/>
              </w:rPr>
            </w:pPr>
            <w:r>
              <w:rPr>
                <w:sz w:val="18"/>
                <w:szCs w:val="18"/>
              </w:rPr>
              <w:t xml:space="preserve">5.106 </w:t>
            </w:r>
          </w:p>
        </w:tc>
        <w:tc>
          <w:tcPr>
            <w:tcW w:w="1090" w:type="dxa"/>
            <w:tcBorders>
              <w:top w:val="single" w:color="000000" w:sz="8" w:space="0"/>
              <w:left w:val="nil"/>
              <w:bottom w:val="single" w:color="000000" w:sz="8" w:space="0"/>
              <w:right w:val="nil"/>
            </w:tcBorders>
            <w:shd w:val="clear" w:color="auto" w:fill="FFFFFF"/>
            <w:tcMar>
              <w:top w:w="11" w:type="dxa"/>
              <w:left w:w="11" w:type="dxa"/>
              <w:bottom w:w="0" w:type="dxa"/>
              <w:right w:w="11" w:type="dxa"/>
            </w:tcMar>
          </w:tcPr>
          <w:p>
            <w:pPr>
              <w:rPr>
                <w:sz w:val="18"/>
                <w:szCs w:val="18"/>
              </w:rPr>
            </w:pPr>
            <w:r>
              <w:rPr>
                <w:sz w:val="18"/>
                <w:szCs w:val="18"/>
              </w:rPr>
              <w:t xml:space="preserve">1.485 </w:t>
            </w:r>
          </w:p>
        </w:tc>
        <w:tc>
          <w:tcPr>
            <w:tcW w:w="1134" w:type="dxa"/>
            <w:tcBorders>
              <w:top w:val="single" w:color="000000" w:sz="8" w:space="0"/>
              <w:left w:val="nil"/>
              <w:bottom w:val="single" w:color="000000" w:sz="8" w:space="0"/>
              <w:right w:val="nil"/>
            </w:tcBorders>
            <w:shd w:val="clear" w:color="auto" w:fill="FFFFFF"/>
            <w:tcMar>
              <w:top w:w="11" w:type="dxa"/>
              <w:left w:w="11" w:type="dxa"/>
              <w:bottom w:w="0" w:type="dxa"/>
              <w:right w:w="11" w:type="dxa"/>
            </w:tcMar>
          </w:tcPr>
          <w:p>
            <w:pPr>
              <w:rPr>
                <w:sz w:val="18"/>
                <w:szCs w:val="18"/>
              </w:rPr>
            </w:pPr>
            <w:r>
              <w:rPr>
                <w:sz w:val="18"/>
                <w:szCs w:val="18"/>
              </w:rPr>
              <w:t xml:space="preserve">6.591 </w:t>
            </w:r>
          </w:p>
        </w:tc>
      </w:tr>
      <w:tr>
        <w:tblPrEx>
          <w:tblCellMar>
            <w:top w:w="0" w:type="dxa"/>
            <w:left w:w="0" w:type="dxa"/>
            <w:bottom w:w="0" w:type="dxa"/>
            <w:right w:w="0" w:type="dxa"/>
          </w:tblCellMar>
        </w:tblPrEx>
        <w:trPr>
          <w:trHeight w:val="381" w:hRule="atLeast"/>
          <w:jc w:val="center"/>
        </w:trPr>
        <w:tc>
          <w:tcPr>
            <w:tcW w:w="567" w:type="dxa"/>
            <w:tcBorders>
              <w:top w:val="single" w:color="000000" w:sz="8" w:space="0"/>
              <w:left w:val="nil"/>
              <w:bottom w:val="single" w:color="000000" w:sz="8" w:space="0"/>
              <w:right w:val="nil"/>
            </w:tcBorders>
            <w:shd w:val="clear" w:color="auto" w:fill="FFFFFF"/>
          </w:tcPr>
          <w:p>
            <w:pPr>
              <w:rPr>
                <w:sz w:val="18"/>
                <w:szCs w:val="18"/>
              </w:rPr>
            </w:pPr>
            <w:r>
              <w:rPr>
                <w:rFonts w:hint="eastAsia"/>
                <w:sz w:val="18"/>
                <w:szCs w:val="18"/>
              </w:rPr>
              <w:t>(14)</w:t>
            </w:r>
          </w:p>
        </w:tc>
        <w:tc>
          <w:tcPr>
            <w:tcW w:w="2627" w:type="dxa"/>
            <w:tcBorders>
              <w:top w:val="single" w:color="000000" w:sz="8" w:space="0"/>
              <w:left w:val="nil"/>
              <w:bottom w:val="single" w:color="000000" w:sz="8" w:space="0"/>
              <w:right w:val="nil"/>
            </w:tcBorders>
            <w:shd w:val="clear" w:color="auto" w:fill="FFFFFF"/>
            <w:tcMar>
              <w:top w:w="11" w:type="dxa"/>
              <w:left w:w="11" w:type="dxa"/>
              <w:bottom w:w="0" w:type="dxa"/>
              <w:right w:w="11" w:type="dxa"/>
            </w:tcMar>
            <w:vAlign w:val="center"/>
          </w:tcPr>
          <w:p>
            <w:pPr>
              <w:rPr>
                <w:sz w:val="18"/>
                <w:szCs w:val="18"/>
              </w:rPr>
            </w:pPr>
            <w:r>
              <w:rPr>
                <w:sz w:val="18"/>
                <w:szCs w:val="18"/>
              </w:rPr>
              <w:t>Benzoic acid</w:t>
            </w:r>
          </w:p>
        </w:tc>
        <w:tc>
          <w:tcPr>
            <w:tcW w:w="1201" w:type="dxa"/>
            <w:tcBorders>
              <w:top w:val="single" w:color="000000" w:sz="8" w:space="0"/>
              <w:left w:val="nil"/>
              <w:bottom w:val="single" w:color="000000" w:sz="8" w:space="0"/>
              <w:right w:val="nil"/>
            </w:tcBorders>
            <w:shd w:val="clear" w:color="auto" w:fill="FFFFFF"/>
            <w:tcMar>
              <w:top w:w="11" w:type="dxa"/>
              <w:left w:w="11" w:type="dxa"/>
              <w:bottom w:w="0" w:type="dxa"/>
              <w:right w:w="11" w:type="dxa"/>
            </w:tcMar>
            <w:vAlign w:val="center"/>
          </w:tcPr>
          <w:p>
            <w:pPr>
              <w:rPr>
                <w:sz w:val="18"/>
                <w:szCs w:val="18"/>
              </w:rPr>
            </w:pPr>
            <w:r>
              <w:rPr>
                <w:sz w:val="18"/>
                <w:szCs w:val="18"/>
              </w:rPr>
              <w:t xml:space="preserve">-1.455 </w:t>
            </w:r>
          </w:p>
        </w:tc>
        <w:tc>
          <w:tcPr>
            <w:tcW w:w="1417" w:type="dxa"/>
            <w:tcBorders>
              <w:top w:val="single" w:color="000000" w:sz="8" w:space="0"/>
              <w:left w:val="nil"/>
              <w:bottom w:val="single" w:color="000000" w:sz="8" w:space="0"/>
              <w:right w:val="nil"/>
            </w:tcBorders>
            <w:shd w:val="clear" w:color="auto" w:fill="FFFFFF"/>
            <w:tcMar>
              <w:top w:w="11" w:type="dxa"/>
              <w:left w:w="11" w:type="dxa"/>
              <w:bottom w:w="0" w:type="dxa"/>
              <w:right w:w="11" w:type="dxa"/>
            </w:tcMar>
            <w:vAlign w:val="center"/>
          </w:tcPr>
          <w:p>
            <w:pPr>
              <w:rPr>
                <w:sz w:val="18"/>
                <w:szCs w:val="18"/>
              </w:rPr>
            </w:pPr>
            <w:r>
              <w:rPr>
                <w:sz w:val="18"/>
                <w:szCs w:val="18"/>
              </w:rPr>
              <w:t xml:space="preserve">2.098 </w:t>
            </w:r>
          </w:p>
        </w:tc>
        <w:tc>
          <w:tcPr>
            <w:tcW w:w="1282" w:type="dxa"/>
            <w:tcBorders>
              <w:top w:val="single" w:color="000000" w:sz="8" w:space="0"/>
              <w:left w:val="nil"/>
              <w:bottom w:val="single" w:color="000000" w:sz="8" w:space="0"/>
              <w:right w:val="nil"/>
            </w:tcBorders>
            <w:shd w:val="clear" w:color="auto" w:fill="FFFFFF"/>
            <w:tcMar>
              <w:top w:w="11" w:type="dxa"/>
              <w:left w:w="11" w:type="dxa"/>
              <w:bottom w:w="0" w:type="dxa"/>
              <w:right w:w="11" w:type="dxa"/>
            </w:tcMar>
          </w:tcPr>
          <w:p>
            <w:pPr>
              <w:rPr>
                <w:sz w:val="18"/>
                <w:szCs w:val="18"/>
              </w:rPr>
            </w:pPr>
            <w:r>
              <w:rPr>
                <w:sz w:val="18"/>
                <w:szCs w:val="18"/>
              </w:rPr>
              <w:t xml:space="preserve">3.787 </w:t>
            </w:r>
          </w:p>
        </w:tc>
        <w:tc>
          <w:tcPr>
            <w:tcW w:w="1231" w:type="dxa"/>
            <w:tcBorders>
              <w:top w:val="single" w:color="000000" w:sz="8" w:space="0"/>
              <w:left w:val="nil"/>
              <w:bottom w:val="single" w:color="000000" w:sz="8" w:space="0"/>
              <w:right w:val="nil"/>
            </w:tcBorders>
            <w:shd w:val="clear" w:color="auto" w:fill="FFFFFF"/>
            <w:tcMar>
              <w:top w:w="11" w:type="dxa"/>
              <w:left w:w="11" w:type="dxa"/>
              <w:bottom w:w="0" w:type="dxa"/>
              <w:right w:w="11" w:type="dxa"/>
            </w:tcMar>
          </w:tcPr>
          <w:p>
            <w:pPr>
              <w:rPr>
                <w:sz w:val="18"/>
                <w:szCs w:val="18"/>
              </w:rPr>
            </w:pPr>
            <w:r>
              <w:rPr>
                <w:sz w:val="18"/>
                <w:szCs w:val="18"/>
              </w:rPr>
              <w:t xml:space="preserve">-0.185 </w:t>
            </w:r>
          </w:p>
        </w:tc>
        <w:tc>
          <w:tcPr>
            <w:tcW w:w="1399" w:type="dxa"/>
            <w:tcBorders>
              <w:top w:val="single" w:color="000000" w:sz="8" w:space="0"/>
              <w:left w:val="nil"/>
              <w:bottom w:val="single" w:color="000000" w:sz="8" w:space="0"/>
              <w:right w:val="nil"/>
            </w:tcBorders>
            <w:shd w:val="clear" w:color="auto" w:fill="FFFFFF"/>
            <w:tcMar>
              <w:top w:w="11" w:type="dxa"/>
              <w:left w:w="11" w:type="dxa"/>
              <w:bottom w:w="0" w:type="dxa"/>
              <w:right w:w="11" w:type="dxa"/>
            </w:tcMar>
          </w:tcPr>
          <w:p>
            <w:pPr>
              <w:rPr>
                <w:sz w:val="18"/>
                <w:szCs w:val="18"/>
              </w:rPr>
            </w:pPr>
            <w:r>
              <w:rPr>
                <w:sz w:val="18"/>
                <w:szCs w:val="18"/>
              </w:rPr>
              <w:t xml:space="preserve">0.139 </w:t>
            </w:r>
          </w:p>
        </w:tc>
        <w:tc>
          <w:tcPr>
            <w:tcW w:w="1106" w:type="dxa"/>
            <w:tcBorders>
              <w:top w:val="single" w:color="000000" w:sz="8" w:space="0"/>
              <w:left w:val="nil"/>
              <w:bottom w:val="single" w:color="000000" w:sz="8" w:space="0"/>
              <w:right w:val="nil"/>
            </w:tcBorders>
            <w:shd w:val="clear" w:color="auto" w:fill="FFFFFF"/>
            <w:tcMar>
              <w:top w:w="11" w:type="dxa"/>
              <w:left w:w="11" w:type="dxa"/>
              <w:bottom w:w="0" w:type="dxa"/>
              <w:right w:w="11" w:type="dxa"/>
            </w:tcMar>
          </w:tcPr>
          <w:p>
            <w:pPr>
              <w:rPr>
                <w:sz w:val="18"/>
                <w:szCs w:val="18"/>
              </w:rPr>
            </w:pPr>
            <w:r>
              <w:rPr>
                <w:sz w:val="18"/>
                <w:szCs w:val="18"/>
              </w:rPr>
              <w:t xml:space="preserve">0.324 </w:t>
            </w:r>
          </w:p>
        </w:tc>
        <w:tc>
          <w:tcPr>
            <w:tcW w:w="1037" w:type="dxa"/>
            <w:tcBorders>
              <w:top w:val="single" w:color="000000" w:sz="8" w:space="0"/>
              <w:left w:val="nil"/>
              <w:bottom w:val="single" w:color="000000" w:sz="8" w:space="0"/>
              <w:right w:val="nil"/>
            </w:tcBorders>
            <w:shd w:val="clear" w:color="auto" w:fill="FFFFFF"/>
            <w:tcMar>
              <w:top w:w="11" w:type="dxa"/>
              <w:left w:w="11" w:type="dxa"/>
              <w:bottom w:w="0" w:type="dxa"/>
              <w:right w:w="11" w:type="dxa"/>
            </w:tcMar>
          </w:tcPr>
          <w:p>
            <w:pPr>
              <w:rPr>
                <w:sz w:val="18"/>
                <w:szCs w:val="18"/>
              </w:rPr>
            </w:pPr>
            <w:r>
              <w:rPr>
                <w:sz w:val="18"/>
                <w:szCs w:val="18"/>
              </w:rPr>
              <w:t xml:space="preserve">4.217 </w:t>
            </w:r>
          </w:p>
        </w:tc>
        <w:tc>
          <w:tcPr>
            <w:tcW w:w="1090" w:type="dxa"/>
            <w:tcBorders>
              <w:top w:val="single" w:color="000000" w:sz="8" w:space="0"/>
              <w:left w:val="nil"/>
              <w:bottom w:val="single" w:color="000000" w:sz="8" w:space="0"/>
              <w:right w:val="nil"/>
            </w:tcBorders>
            <w:shd w:val="clear" w:color="auto" w:fill="FFFFFF"/>
            <w:tcMar>
              <w:top w:w="11" w:type="dxa"/>
              <w:left w:w="11" w:type="dxa"/>
              <w:bottom w:w="0" w:type="dxa"/>
              <w:right w:w="11" w:type="dxa"/>
            </w:tcMar>
          </w:tcPr>
          <w:p>
            <w:pPr>
              <w:rPr>
                <w:sz w:val="18"/>
                <w:szCs w:val="18"/>
              </w:rPr>
            </w:pPr>
            <w:r>
              <w:rPr>
                <w:sz w:val="18"/>
                <w:szCs w:val="18"/>
              </w:rPr>
              <w:t xml:space="preserve">3.715 </w:t>
            </w:r>
          </w:p>
        </w:tc>
        <w:tc>
          <w:tcPr>
            <w:tcW w:w="1134" w:type="dxa"/>
            <w:tcBorders>
              <w:top w:val="single" w:color="000000" w:sz="8" w:space="0"/>
              <w:left w:val="nil"/>
              <w:bottom w:val="single" w:color="000000" w:sz="8" w:space="0"/>
              <w:right w:val="nil"/>
            </w:tcBorders>
            <w:shd w:val="clear" w:color="auto" w:fill="FFFFFF"/>
            <w:tcMar>
              <w:top w:w="11" w:type="dxa"/>
              <w:left w:w="11" w:type="dxa"/>
              <w:bottom w:w="0" w:type="dxa"/>
              <w:right w:w="11" w:type="dxa"/>
            </w:tcMar>
          </w:tcPr>
          <w:p>
            <w:pPr>
              <w:rPr>
                <w:sz w:val="18"/>
                <w:szCs w:val="18"/>
              </w:rPr>
            </w:pPr>
            <w:r>
              <w:rPr>
                <w:sz w:val="18"/>
                <w:szCs w:val="18"/>
              </w:rPr>
              <w:t xml:space="preserve">7.932 </w:t>
            </w:r>
          </w:p>
        </w:tc>
      </w:tr>
      <w:tr>
        <w:tblPrEx>
          <w:tblCellMar>
            <w:top w:w="0" w:type="dxa"/>
            <w:left w:w="0" w:type="dxa"/>
            <w:bottom w:w="0" w:type="dxa"/>
            <w:right w:w="0" w:type="dxa"/>
          </w:tblCellMar>
        </w:tblPrEx>
        <w:trPr>
          <w:trHeight w:val="381" w:hRule="atLeast"/>
          <w:jc w:val="center"/>
        </w:trPr>
        <w:tc>
          <w:tcPr>
            <w:tcW w:w="567" w:type="dxa"/>
            <w:tcBorders>
              <w:top w:val="single" w:color="000000" w:sz="8" w:space="0"/>
              <w:left w:val="nil"/>
              <w:bottom w:val="single" w:color="000000" w:sz="8" w:space="0"/>
              <w:right w:val="nil"/>
            </w:tcBorders>
            <w:shd w:val="clear" w:color="auto" w:fill="FFFFFF"/>
          </w:tcPr>
          <w:p>
            <w:pPr>
              <w:rPr>
                <w:sz w:val="18"/>
                <w:szCs w:val="18"/>
              </w:rPr>
            </w:pPr>
            <w:r>
              <w:rPr>
                <w:rFonts w:hint="eastAsia"/>
                <w:sz w:val="18"/>
                <w:szCs w:val="18"/>
              </w:rPr>
              <w:t>(15)</w:t>
            </w:r>
          </w:p>
        </w:tc>
        <w:tc>
          <w:tcPr>
            <w:tcW w:w="2627" w:type="dxa"/>
            <w:tcBorders>
              <w:top w:val="single" w:color="000000" w:sz="8" w:space="0"/>
              <w:left w:val="nil"/>
              <w:bottom w:val="single" w:color="000000" w:sz="8" w:space="0"/>
              <w:right w:val="nil"/>
            </w:tcBorders>
            <w:shd w:val="clear" w:color="auto" w:fill="FFFFFF"/>
            <w:tcMar>
              <w:top w:w="11" w:type="dxa"/>
              <w:left w:w="11" w:type="dxa"/>
              <w:bottom w:w="0" w:type="dxa"/>
              <w:right w:w="11" w:type="dxa"/>
            </w:tcMar>
            <w:vAlign w:val="center"/>
          </w:tcPr>
          <w:p>
            <w:pPr>
              <w:rPr>
                <w:sz w:val="18"/>
                <w:szCs w:val="18"/>
              </w:rPr>
            </w:pPr>
            <w:r>
              <w:rPr>
                <w:sz w:val="18"/>
                <w:szCs w:val="18"/>
              </w:rPr>
              <w:t>Potassium phthalate</w:t>
            </w:r>
          </w:p>
        </w:tc>
        <w:tc>
          <w:tcPr>
            <w:tcW w:w="1201" w:type="dxa"/>
            <w:tcBorders>
              <w:top w:val="single" w:color="000000" w:sz="8" w:space="0"/>
              <w:left w:val="nil"/>
              <w:bottom w:val="single" w:color="000000" w:sz="8" w:space="0"/>
              <w:right w:val="nil"/>
            </w:tcBorders>
            <w:shd w:val="clear" w:color="auto" w:fill="FFFFFF"/>
            <w:tcMar>
              <w:top w:w="11" w:type="dxa"/>
              <w:left w:w="11" w:type="dxa"/>
              <w:bottom w:w="0" w:type="dxa"/>
              <w:right w:w="11" w:type="dxa"/>
            </w:tcMar>
            <w:vAlign w:val="center"/>
          </w:tcPr>
          <w:p>
            <w:pPr>
              <w:rPr>
                <w:sz w:val="18"/>
                <w:szCs w:val="18"/>
              </w:rPr>
            </w:pPr>
            <w:r>
              <w:rPr>
                <w:sz w:val="18"/>
                <w:szCs w:val="18"/>
              </w:rPr>
              <w:t xml:space="preserve">-1.591 </w:t>
            </w:r>
          </w:p>
        </w:tc>
        <w:tc>
          <w:tcPr>
            <w:tcW w:w="1417" w:type="dxa"/>
            <w:tcBorders>
              <w:top w:val="single" w:color="000000" w:sz="8" w:space="0"/>
              <w:left w:val="nil"/>
              <w:bottom w:val="single" w:color="000000" w:sz="8" w:space="0"/>
              <w:right w:val="nil"/>
            </w:tcBorders>
            <w:shd w:val="clear" w:color="auto" w:fill="FFFFFF"/>
            <w:tcMar>
              <w:top w:w="11" w:type="dxa"/>
              <w:left w:w="11" w:type="dxa"/>
              <w:bottom w:w="0" w:type="dxa"/>
              <w:right w:w="11" w:type="dxa"/>
            </w:tcMar>
            <w:vAlign w:val="center"/>
          </w:tcPr>
          <w:p>
            <w:pPr>
              <w:rPr>
                <w:sz w:val="18"/>
                <w:szCs w:val="18"/>
              </w:rPr>
            </w:pPr>
            <w:r>
              <w:rPr>
                <w:sz w:val="18"/>
                <w:szCs w:val="18"/>
              </w:rPr>
              <w:t xml:space="preserve">2.207 </w:t>
            </w:r>
          </w:p>
        </w:tc>
        <w:tc>
          <w:tcPr>
            <w:tcW w:w="1282" w:type="dxa"/>
            <w:tcBorders>
              <w:top w:val="single" w:color="000000" w:sz="8" w:space="0"/>
              <w:left w:val="nil"/>
              <w:bottom w:val="single" w:color="000000" w:sz="8" w:space="0"/>
              <w:right w:val="nil"/>
            </w:tcBorders>
            <w:shd w:val="clear" w:color="auto" w:fill="FFFFFF"/>
            <w:tcMar>
              <w:top w:w="11" w:type="dxa"/>
              <w:left w:w="11" w:type="dxa"/>
              <w:bottom w:w="0" w:type="dxa"/>
              <w:right w:w="11" w:type="dxa"/>
            </w:tcMar>
          </w:tcPr>
          <w:p>
            <w:pPr>
              <w:rPr>
                <w:sz w:val="18"/>
                <w:szCs w:val="18"/>
              </w:rPr>
            </w:pPr>
            <w:r>
              <w:rPr>
                <w:sz w:val="18"/>
                <w:szCs w:val="18"/>
              </w:rPr>
              <w:t xml:space="preserve">3.818 </w:t>
            </w:r>
          </w:p>
        </w:tc>
        <w:tc>
          <w:tcPr>
            <w:tcW w:w="1231" w:type="dxa"/>
            <w:tcBorders>
              <w:top w:val="single" w:color="000000" w:sz="8" w:space="0"/>
              <w:left w:val="nil"/>
              <w:bottom w:val="single" w:color="000000" w:sz="8" w:space="0"/>
              <w:right w:val="nil"/>
            </w:tcBorders>
            <w:shd w:val="clear" w:color="auto" w:fill="FFFFFF"/>
            <w:tcMar>
              <w:top w:w="11" w:type="dxa"/>
              <w:left w:w="11" w:type="dxa"/>
              <w:bottom w:w="0" w:type="dxa"/>
              <w:right w:w="11" w:type="dxa"/>
            </w:tcMar>
          </w:tcPr>
          <w:p>
            <w:pPr>
              <w:rPr>
                <w:sz w:val="18"/>
                <w:szCs w:val="18"/>
              </w:rPr>
            </w:pPr>
            <w:r>
              <w:rPr>
                <w:sz w:val="18"/>
                <w:szCs w:val="18"/>
              </w:rPr>
              <w:t xml:space="preserve">-0.641 </w:t>
            </w:r>
          </w:p>
        </w:tc>
        <w:tc>
          <w:tcPr>
            <w:tcW w:w="1399" w:type="dxa"/>
            <w:tcBorders>
              <w:top w:val="single" w:color="000000" w:sz="8" w:space="0"/>
              <w:left w:val="nil"/>
              <w:bottom w:val="single" w:color="000000" w:sz="8" w:space="0"/>
              <w:right w:val="nil"/>
            </w:tcBorders>
            <w:shd w:val="clear" w:color="auto" w:fill="FFFFFF"/>
            <w:tcMar>
              <w:top w:w="11" w:type="dxa"/>
              <w:left w:w="11" w:type="dxa"/>
              <w:bottom w:w="0" w:type="dxa"/>
              <w:right w:w="11" w:type="dxa"/>
            </w:tcMar>
          </w:tcPr>
          <w:p>
            <w:pPr>
              <w:rPr>
                <w:sz w:val="18"/>
                <w:szCs w:val="18"/>
              </w:rPr>
            </w:pPr>
            <w:r>
              <w:rPr>
                <w:sz w:val="18"/>
                <w:szCs w:val="18"/>
              </w:rPr>
              <w:t xml:space="preserve">0.277 </w:t>
            </w:r>
          </w:p>
        </w:tc>
        <w:tc>
          <w:tcPr>
            <w:tcW w:w="1106" w:type="dxa"/>
            <w:tcBorders>
              <w:top w:val="single" w:color="000000" w:sz="8" w:space="0"/>
              <w:left w:val="nil"/>
              <w:bottom w:val="single" w:color="000000" w:sz="8" w:space="0"/>
              <w:right w:val="nil"/>
            </w:tcBorders>
            <w:shd w:val="clear" w:color="auto" w:fill="FFFFFF"/>
            <w:tcMar>
              <w:top w:w="11" w:type="dxa"/>
              <w:left w:w="11" w:type="dxa"/>
              <w:bottom w:w="0" w:type="dxa"/>
              <w:right w:w="11" w:type="dxa"/>
            </w:tcMar>
          </w:tcPr>
          <w:p>
            <w:pPr>
              <w:rPr>
                <w:sz w:val="18"/>
                <w:szCs w:val="18"/>
              </w:rPr>
            </w:pPr>
            <w:r>
              <w:rPr>
                <w:sz w:val="18"/>
                <w:szCs w:val="18"/>
              </w:rPr>
              <w:t xml:space="preserve">0.918 </w:t>
            </w:r>
          </w:p>
        </w:tc>
        <w:tc>
          <w:tcPr>
            <w:tcW w:w="1037" w:type="dxa"/>
            <w:tcBorders>
              <w:top w:val="single" w:color="000000" w:sz="8" w:space="0"/>
              <w:left w:val="nil"/>
              <w:bottom w:val="single" w:color="000000" w:sz="8" w:space="0"/>
              <w:right w:val="nil"/>
            </w:tcBorders>
            <w:shd w:val="clear" w:color="auto" w:fill="FFFFFF"/>
            <w:tcMar>
              <w:top w:w="11" w:type="dxa"/>
              <w:left w:w="11" w:type="dxa"/>
              <w:bottom w:w="0" w:type="dxa"/>
              <w:right w:w="11" w:type="dxa"/>
            </w:tcMar>
          </w:tcPr>
          <w:p>
            <w:pPr>
              <w:rPr>
                <w:sz w:val="18"/>
                <w:szCs w:val="18"/>
              </w:rPr>
            </w:pPr>
            <w:r>
              <w:rPr>
                <w:sz w:val="18"/>
                <w:szCs w:val="18"/>
              </w:rPr>
              <w:t xml:space="preserve">4.887 </w:t>
            </w:r>
          </w:p>
        </w:tc>
        <w:tc>
          <w:tcPr>
            <w:tcW w:w="1090" w:type="dxa"/>
            <w:tcBorders>
              <w:top w:val="single" w:color="000000" w:sz="8" w:space="0"/>
              <w:left w:val="nil"/>
              <w:bottom w:val="single" w:color="000000" w:sz="8" w:space="0"/>
              <w:right w:val="nil"/>
            </w:tcBorders>
            <w:shd w:val="clear" w:color="auto" w:fill="FFFFFF"/>
            <w:tcMar>
              <w:top w:w="11" w:type="dxa"/>
              <w:left w:w="11" w:type="dxa"/>
              <w:bottom w:w="0" w:type="dxa"/>
              <w:right w:w="11" w:type="dxa"/>
            </w:tcMar>
          </w:tcPr>
          <w:p>
            <w:pPr>
              <w:rPr>
                <w:sz w:val="18"/>
                <w:szCs w:val="18"/>
              </w:rPr>
            </w:pPr>
            <w:r>
              <w:rPr>
                <w:sz w:val="18"/>
                <w:szCs w:val="18"/>
              </w:rPr>
              <w:t xml:space="preserve">5.898 </w:t>
            </w:r>
          </w:p>
        </w:tc>
        <w:tc>
          <w:tcPr>
            <w:tcW w:w="1134" w:type="dxa"/>
            <w:tcBorders>
              <w:top w:val="single" w:color="000000" w:sz="8" w:space="0"/>
              <w:left w:val="nil"/>
              <w:bottom w:val="single" w:color="000000" w:sz="8" w:space="0"/>
              <w:right w:val="nil"/>
            </w:tcBorders>
            <w:shd w:val="clear" w:color="auto" w:fill="FFFFFF"/>
            <w:tcMar>
              <w:top w:w="11" w:type="dxa"/>
              <w:left w:w="11" w:type="dxa"/>
              <w:bottom w:w="0" w:type="dxa"/>
              <w:right w:w="11" w:type="dxa"/>
            </w:tcMar>
          </w:tcPr>
          <w:p>
            <w:pPr>
              <w:rPr>
                <w:sz w:val="18"/>
                <w:szCs w:val="18"/>
              </w:rPr>
            </w:pPr>
            <w:r>
              <w:rPr>
                <w:sz w:val="18"/>
                <w:szCs w:val="18"/>
              </w:rPr>
              <w:t xml:space="preserve">10.786 </w:t>
            </w:r>
          </w:p>
        </w:tc>
      </w:tr>
      <w:tr>
        <w:tblPrEx>
          <w:tblCellMar>
            <w:top w:w="0" w:type="dxa"/>
            <w:left w:w="0" w:type="dxa"/>
            <w:bottom w:w="0" w:type="dxa"/>
            <w:right w:w="0" w:type="dxa"/>
          </w:tblCellMar>
        </w:tblPrEx>
        <w:trPr>
          <w:trHeight w:val="381" w:hRule="atLeast"/>
          <w:jc w:val="center"/>
        </w:trPr>
        <w:tc>
          <w:tcPr>
            <w:tcW w:w="567" w:type="dxa"/>
            <w:tcBorders>
              <w:top w:val="single" w:color="000000" w:sz="8" w:space="0"/>
              <w:left w:val="nil"/>
              <w:bottom w:val="single" w:color="000000" w:sz="8" w:space="0"/>
              <w:right w:val="nil"/>
            </w:tcBorders>
            <w:shd w:val="clear" w:color="auto" w:fill="FFFFFF"/>
          </w:tcPr>
          <w:p>
            <w:pPr>
              <w:rPr>
                <w:sz w:val="18"/>
                <w:szCs w:val="18"/>
              </w:rPr>
            </w:pPr>
            <w:r>
              <w:rPr>
                <w:rFonts w:hint="eastAsia"/>
                <w:sz w:val="18"/>
                <w:szCs w:val="18"/>
              </w:rPr>
              <w:t>(16)</w:t>
            </w:r>
          </w:p>
        </w:tc>
        <w:tc>
          <w:tcPr>
            <w:tcW w:w="2627" w:type="dxa"/>
            <w:tcBorders>
              <w:top w:val="single" w:color="000000" w:sz="8" w:space="0"/>
              <w:left w:val="nil"/>
              <w:bottom w:val="single" w:color="000000" w:sz="8" w:space="0"/>
              <w:right w:val="nil"/>
            </w:tcBorders>
            <w:shd w:val="clear" w:color="auto" w:fill="FFFFFF"/>
            <w:tcMar>
              <w:top w:w="11" w:type="dxa"/>
              <w:left w:w="11" w:type="dxa"/>
              <w:bottom w:w="0" w:type="dxa"/>
              <w:right w:w="11" w:type="dxa"/>
            </w:tcMar>
            <w:vAlign w:val="center"/>
          </w:tcPr>
          <w:p>
            <w:pPr>
              <w:rPr>
                <w:sz w:val="18"/>
                <w:szCs w:val="18"/>
              </w:rPr>
            </w:pPr>
            <w:r>
              <w:rPr>
                <w:sz w:val="18"/>
                <w:szCs w:val="18"/>
              </w:rPr>
              <w:t>Dopamine</w:t>
            </w:r>
          </w:p>
        </w:tc>
        <w:tc>
          <w:tcPr>
            <w:tcW w:w="1201" w:type="dxa"/>
            <w:tcBorders>
              <w:top w:val="single" w:color="000000" w:sz="8" w:space="0"/>
              <w:left w:val="nil"/>
              <w:bottom w:val="single" w:color="000000" w:sz="8" w:space="0"/>
              <w:right w:val="nil"/>
            </w:tcBorders>
            <w:shd w:val="clear" w:color="auto" w:fill="FFFFFF"/>
            <w:tcMar>
              <w:top w:w="11" w:type="dxa"/>
              <w:left w:w="11" w:type="dxa"/>
              <w:bottom w:w="0" w:type="dxa"/>
              <w:right w:w="11" w:type="dxa"/>
            </w:tcMar>
            <w:vAlign w:val="center"/>
          </w:tcPr>
          <w:p>
            <w:pPr>
              <w:rPr>
                <w:sz w:val="18"/>
                <w:szCs w:val="18"/>
              </w:rPr>
            </w:pPr>
            <w:r>
              <w:rPr>
                <w:sz w:val="18"/>
                <w:szCs w:val="18"/>
              </w:rPr>
              <w:t xml:space="preserve">-1.804 </w:t>
            </w:r>
          </w:p>
        </w:tc>
        <w:tc>
          <w:tcPr>
            <w:tcW w:w="1417" w:type="dxa"/>
            <w:tcBorders>
              <w:top w:val="single" w:color="000000" w:sz="8" w:space="0"/>
              <w:left w:val="nil"/>
              <w:bottom w:val="single" w:color="000000" w:sz="8" w:space="0"/>
              <w:right w:val="nil"/>
            </w:tcBorders>
            <w:shd w:val="clear" w:color="auto" w:fill="FFFFFF"/>
            <w:tcMar>
              <w:top w:w="11" w:type="dxa"/>
              <w:left w:w="11" w:type="dxa"/>
              <w:bottom w:w="0" w:type="dxa"/>
              <w:right w:w="11" w:type="dxa"/>
            </w:tcMar>
            <w:vAlign w:val="center"/>
          </w:tcPr>
          <w:p>
            <w:pPr>
              <w:rPr>
                <w:sz w:val="18"/>
                <w:szCs w:val="18"/>
              </w:rPr>
            </w:pPr>
            <w:r>
              <w:rPr>
                <w:sz w:val="18"/>
                <w:szCs w:val="18"/>
              </w:rPr>
              <w:t xml:space="preserve">2.495 </w:t>
            </w:r>
          </w:p>
        </w:tc>
        <w:tc>
          <w:tcPr>
            <w:tcW w:w="1282" w:type="dxa"/>
            <w:tcBorders>
              <w:top w:val="single" w:color="000000" w:sz="8" w:space="0"/>
              <w:left w:val="nil"/>
              <w:bottom w:val="single" w:color="000000" w:sz="8" w:space="0"/>
              <w:right w:val="nil"/>
            </w:tcBorders>
            <w:shd w:val="clear" w:color="auto" w:fill="FFFFFF"/>
            <w:tcMar>
              <w:top w:w="11" w:type="dxa"/>
              <w:left w:w="11" w:type="dxa"/>
              <w:bottom w:w="0" w:type="dxa"/>
              <w:right w:w="11" w:type="dxa"/>
            </w:tcMar>
          </w:tcPr>
          <w:p>
            <w:pPr>
              <w:rPr>
                <w:sz w:val="18"/>
                <w:szCs w:val="18"/>
              </w:rPr>
            </w:pPr>
            <w:r>
              <w:rPr>
                <w:sz w:val="18"/>
                <w:szCs w:val="18"/>
              </w:rPr>
              <w:t xml:space="preserve">4.133 </w:t>
            </w:r>
          </w:p>
        </w:tc>
        <w:tc>
          <w:tcPr>
            <w:tcW w:w="1231" w:type="dxa"/>
            <w:tcBorders>
              <w:top w:val="single" w:color="000000" w:sz="8" w:space="0"/>
              <w:left w:val="nil"/>
              <w:bottom w:val="single" w:color="000000" w:sz="8" w:space="0"/>
              <w:right w:val="nil"/>
            </w:tcBorders>
            <w:shd w:val="clear" w:color="auto" w:fill="FFFFFF"/>
            <w:tcMar>
              <w:top w:w="11" w:type="dxa"/>
              <w:left w:w="11" w:type="dxa"/>
              <w:bottom w:w="0" w:type="dxa"/>
              <w:right w:w="11" w:type="dxa"/>
            </w:tcMar>
          </w:tcPr>
          <w:p>
            <w:pPr>
              <w:rPr>
                <w:sz w:val="18"/>
                <w:szCs w:val="18"/>
              </w:rPr>
            </w:pPr>
            <w:r>
              <w:rPr>
                <w:sz w:val="18"/>
                <w:szCs w:val="18"/>
              </w:rPr>
              <w:t xml:space="preserve">-0.294 </w:t>
            </w:r>
          </w:p>
        </w:tc>
        <w:tc>
          <w:tcPr>
            <w:tcW w:w="1399" w:type="dxa"/>
            <w:tcBorders>
              <w:top w:val="single" w:color="000000" w:sz="8" w:space="0"/>
              <w:left w:val="nil"/>
              <w:bottom w:val="single" w:color="000000" w:sz="8" w:space="0"/>
              <w:right w:val="nil"/>
            </w:tcBorders>
            <w:shd w:val="clear" w:color="auto" w:fill="FFFFFF"/>
            <w:tcMar>
              <w:top w:w="11" w:type="dxa"/>
              <w:left w:w="11" w:type="dxa"/>
              <w:bottom w:w="0" w:type="dxa"/>
              <w:right w:w="11" w:type="dxa"/>
            </w:tcMar>
          </w:tcPr>
          <w:p>
            <w:pPr>
              <w:rPr>
                <w:sz w:val="18"/>
                <w:szCs w:val="18"/>
              </w:rPr>
            </w:pPr>
            <w:r>
              <w:rPr>
                <w:sz w:val="18"/>
                <w:szCs w:val="18"/>
              </w:rPr>
              <w:t xml:space="preserve">0.224 </w:t>
            </w:r>
          </w:p>
        </w:tc>
        <w:tc>
          <w:tcPr>
            <w:tcW w:w="1106" w:type="dxa"/>
            <w:tcBorders>
              <w:top w:val="single" w:color="000000" w:sz="8" w:space="0"/>
              <w:left w:val="nil"/>
              <w:bottom w:val="single" w:color="000000" w:sz="8" w:space="0"/>
              <w:right w:val="nil"/>
            </w:tcBorders>
            <w:shd w:val="clear" w:color="auto" w:fill="FFFFFF"/>
            <w:tcMar>
              <w:top w:w="11" w:type="dxa"/>
              <w:left w:w="11" w:type="dxa"/>
              <w:bottom w:w="0" w:type="dxa"/>
              <w:right w:w="11" w:type="dxa"/>
            </w:tcMar>
          </w:tcPr>
          <w:p>
            <w:pPr>
              <w:rPr>
                <w:sz w:val="18"/>
                <w:szCs w:val="18"/>
              </w:rPr>
            </w:pPr>
            <w:r>
              <w:rPr>
                <w:sz w:val="18"/>
                <w:szCs w:val="18"/>
              </w:rPr>
              <w:t xml:space="preserve">0.519 </w:t>
            </w:r>
          </w:p>
        </w:tc>
        <w:tc>
          <w:tcPr>
            <w:tcW w:w="1037" w:type="dxa"/>
            <w:tcBorders>
              <w:top w:val="single" w:color="000000" w:sz="8" w:space="0"/>
              <w:left w:val="nil"/>
              <w:bottom w:val="single" w:color="000000" w:sz="8" w:space="0"/>
              <w:right w:val="nil"/>
            </w:tcBorders>
            <w:shd w:val="clear" w:color="auto" w:fill="FFFFFF"/>
            <w:tcMar>
              <w:top w:w="11" w:type="dxa"/>
              <w:left w:w="11" w:type="dxa"/>
              <w:bottom w:w="0" w:type="dxa"/>
              <w:right w:w="11" w:type="dxa"/>
            </w:tcMar>
          </w:tcPr>
          <w:p>
            <w:pPr>
              <w:rPr>
                <w:sz w:val="18"/>
                <w:szCs w:val="18"/>
              </w:rPr>
            </w:pPr>
            <w:r>
              <w:rPr>
                <w:sz w:val="18"/>
                <w:szCs w:val="18"/>
              </w:rPr>
              <w:t xml:space="preserve">3.130 </w:t>
            </w:r>
          </w:p>
        </w:tc>
        <w:tc>
          <w:tcPr>
            <w:tcW w:w="1090" w:type="dxa"/>
            <w:tcBorders>
              <w:top w:val="single" w:color="000000" w:sz="8" w:space="0"/>
              <w:left w:val="nil"/>
              <w:bottom w:val="single" w:color="000000" w:sz="8" w:space="0"/>
              <w:right w:val="nil"/>
            </w:tcBorders>
            <w:shd w:val="clear" w:color="auto" w:fill="FFFFFF"/>
            <w:tcMar>
              <w:top w:w="11" w:type="dxa"/>
              <w:left w:w="11" w:type="dxa"/>
              <w:bottom w:w="0" w:type="dxa"/>
              <w:right w:w="11" w:type="dxa"/>
            </w:tcMar>
          </w:tcPr>
          <w:p>
            <w:pPr>
              <w:rPr>
                <w:sz w:val="18"/>
                <w:szCs w:val="18"/>
              </w:rPr>
            </w:pPr>
            <w:r>
              <w:rPr>
                <w:sz w:val="18"/>
                <w:szCs w:val="18"/>
              </w:rPr>
              <w:t xml:space="preserve">5.389 </w:t>
            </w:r>
          </w:p>
        </w:tc>
        <w:tc>
          <w:tcPr>
            <w:tcW w:w="1134" w:type="dxa"/>
            <w:tcBorders>
              <w:top w:val="single" w:color="000000" w:sz="8" w:space="0"/>
              <w:left w:val="nil"/>
              <w:bottom w:val="single" w:color="000000" w:sz="8" w:space="0"/>
              <w:right w:val="nil"/>
            </w:tcBorders>
            <w:shd w:val="clear" w:color="auto" w:fill="FFFFFF"/>
            <w:tcMar>
              <w:top w:w="11" w:type="dxa"/>
              <w:left w:w="11" w:type="dxa"/>
              <w:bottom w:w="0" w:type="dxa"/>
              <w:right w:w="11" w:type="dxa"/>
            </w:tcMar>
          </w:tcPr>
          <w:p>
            <w:pPr>
              <w:rPr>
                <w:sz w:val="18"/>
                <w:szCs w:val="18"/>
              </w:rPr>
            </w:pPr>
            <w:r>
              <w:rPr>
                <w:sz w:val="18"/>
                <w:szCs w:val="18"/>
              </w:rPr>
              <w:t xml:space="preserve">8.519 </w:t>
            </w:r>
          </w:p>
        </w:tc>
      </w:tr>
    </w:tbl>
    <w:p>
      <w:pPr>
        <w:jc w:val="center"/>
      </w:pPr>
      <w:r>
        <w:rPr>
          <w:rFonts w:hint="eastAsia"/>
        </w:rPr>
        <w:drawing>
          <wp:inline distT="0" distB="0" distL="0" distR="0">
            <wp:extent cx="5270500" cy="3293745"/>
            <wp:effectExtent l="0" t="0" r="6350" b="1905"/>
            <wp:docPr id="1175523643"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5523643" name="图片 4"/>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a:xfrm>
                      <a:off x="0" y="0"/>
                      <a:ext cx="5270500" cy="3293745"/>
                    </a:xfrm>
                    <a:prstGeom prst="rect">
                      <a:avLst/>
                    </a:prstGeom>
                    <a:noFill/>
                    <a:ln>
                      <a:noFill/>
                    </a:ln>
                  </pic:spPr>
                </pic:pic>
              </a:graphicData>
            </a:graphic>
          </wp:inline>
        </w:drawing>
      </w:r>
    </w:p>
    <w:p>
      <w:r>
        <w:rPr>
          <w:rFonts w:hint="eastAsia"/>
          <w:b/>
        </w:rPr>
        <w:t>Figure S3.</w:t>
      </w:r>
      <w:r>
        <w:rPr>
          <w:rFonts w:hint="eastAsia"/>
        </w:rPr>
        <w:t xml:space="preserve"> The </w:t>
      </w:r>
      <w:r>
        <w:t>Electrostatic potential</w:t>
      </w:r>
      <w:r>
        <w:rPr>
          <w:rFonts w:hint="eastAsia"/>
        </w:rPr>
        <w:t xml:space="preserve"> </w:t>
      </w:r>
      <w:r>
        <w:t xml:space="preserve">projected on the molecule surface (isosurface of electronic density with value of 0.001 a.u.) </w:t>
      </w:r>
      <w:r>
        <w:rPr>
          <w:rFonts w:hint="eastAsia"/>
        </w:rPr>
        <w:t>for all molecules.</w:t>
      </w:r>
    </w:p>
    <w:p>
      <w:pPr>
        <w:sectPr>
          <w:pgSz w:w="16838" w:h="11906" w:orient="landscape"/>
          <w:pgMar w:top="1800" w:right="1440" w:bottom="1800" w:left="1440" w:header="851" w:footer="992" w:gutter="0"/>
          <w:cols w:space="425" w:num="1"/>
          <w:docGrid w:type="lines" w:linePitch="312" w:charSpace="0"/>
        </w:sectPr>
      </w:pPr>
    </w:p>
    <w:p>
      <w:pPr>
        <w:jc w:val="center"/>
        <w:rPr>
          <w:rFonts w:cs="Times New Roman"/>
          <w:sz w:val="20"/>
        </w:rPr>
      </w:pPr>
      <w:r>
        <w:drawing>
          <wp:inline distT="0" distB="0" distL="0" distR="0">
            <wp:extent cx="4063365" cy="3111500"/>
            <wp:effectExtent l="0" t="0" r="3810" b="3175"/>
            <wp:docPr id="8"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4"/>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a:xfrm>
                      <a:off x="0" y="0"/>
                      <a:ext cx="4077274" cy="3122507"/>
                    </a:xfrm>
                    <a:prstGeom prst="rect">
                      <a:avLst/>
                    </a:prstGeom>
                    <a:noFill/>
                    <a:ln>
                      <a:noFill/>
                    </a:ln>
                  </pic:spPr>
                </pic:pic>
              </a:graphicData>
            </a:graphic>
          </wp:inline>
        </w:drawing>
      </w:r>
    </w:p>
    <w:p>
      <w:r>
        <w:rPr>
          <w:b/>
          <w:bCs/>
        </w:rPr>
        <w:t>Figure S4.</w:t>
      </w:r>
      <w:r>
        <w:t xml:space="preserve"> Statistical coverages of the chemisorbed water molecules at three representative Pt(111)-x/water interfaces. </w:t>
      </w:r>
    </w:p>
    <w:p>
      <w:r>
        <w:br w:type="page"/>
      </w:r>
    </w:p>
    <w:p>
      <w:pPr>
        <w:jc w:val="center"/>
      </w:pPr>
      <w:r>
        <w:drawing>
          <wp:inline distT="0" distB="0" distL="0" distR="0">
            <wp:extent cx="2979420" cy="2338070"/>
            <wp:effectExtent l="0" t="0" r="0" b="5080"/>
            <wp:docPr id="2"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6"/>
                    <pic:cNvPicPr>
                      <a:picLocks noChangeAspect="1"/>
                    </pic:cNvPicPr>
                  </pic:nvPicPr>
                  <pic:blipFill>
                    <a:blip r:embed="rId8"/>
                    <a:srcRect l="5159" t="8103" r="13031" b="7888"/>
                    <a:stretch>
                      <a:fillRect/>
                    </a:stretch>
                  </pic:blipFill>
                  <pic:spPr>
                    <a:xfrm>
                      <a:off x="0" y="0"/>
                      <a:ext cx="2995000" cy="2350156"/>
                    </a:xfrm>
                    <a:prstGeom prst="rect">
                      <a:avLst/>
                    </a:prstGeom>
                    <a:ln>
                      <a:noFill/>
                    </a:ln>
                  </pic:spPr>
                </pic:pic>
              </a:graphicData>
            </a:graphic>
          </wp:inline>
        </w:drawing>
      </w:r>
    </w:p>
    <w:p>
      <w:r>
        <w:rPr>
          <w:b/>
          <w:bCs/>
        </w:rPr>
        <w:t>Figure S5.</w:t>
      </w:r>
      <w:r>
        <w:t xml:space="preserve"> The calculated work functions of Pt(111) and Pt(111)-15 surfaces in vacuum. </w:t>
      </w:r>
    </w:p>
    <w:p/>
    <w:p>
      <w:pPr>
        <w:jc w:val="center"/>
      </w:pPr>
      <w:r>
        <w:t xml:space="preserve">  Figure S5 clearly shows that the molecule 15 with fairly high ESP</w:t>
      </w:r>
      <w:r>
        <w:rPr>
          <w:vertAlign w:val="subscript"/>
        </w:rPr>
        <w:t>range</w:t>
      </w:r>
      <w:r>
        <w:t xml:space="preserve"> can significantly increase the work function of Pt electrode, thus resulting in the higher PZC value compared to the bare Pt(111)/water interface (Fig. 2a in the main text).</w:t>
      </w:r>
    </w:p>
    <w:p>
      <w:r>
        <w:br w:type="page"/>
      </w:r>
    </w:p>
    <w:p>
      <w:pPr>
        <w:jc w:val="center"/>
      </w:pPr>
      <w:r>
        <w:drawing>
          <wp:inline distT="0" distB="0" distL="0" distR="0">
            <wp:extent cx="2867025" cy="1626870"/>
            <wp:effectExtent l="0" t="0" r="9525" b="0"/>
            <wp:docPr id="5"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4"/>
                    <pic:cNvPicPr>
                      <a:picLocks noChangeAspect="1"/>
                    </pic:cNvPicPr>
                  </pic:nvPicPr>
                  <pic:blipFill>
                    <a:blip r:embed="rId9"/>
                    <a:srcRect r="33579"/>
                    <a:stretch>
                      <a:fillRect/>
                    </a:stretch>
                  </pic:blipFill>
                  <pic:spPr>
                    <a:xfrm>
                      <a:off x="0" y="0"/>
                      <a:ext cx="2867025" cy="1626870"/>
                    </a:xfrm>
                    <a:prstGeom prst="rect">
                      <a:avLst/>
                    </a:prstGeom>
                    <a:ln>
                      <a:noFill/>
                    </a:ln>
                  </pic:spPr>
                </pic:pic>
              </a:graphicData>
            </a:graphic>
          </wp:inline>
        </w:drawing>
      </w:r>
    </w:p>
    <w:p>
      <w:r>
        <w:rPr>
          <w:b/>
          <w:bCs/>
        </w:rPr>
        <w:t>Figure S6.</w:t>
      </w:r>
      <w:r>
        <w:t xml:space="preserve"> Representative snapshots of the Pt(111)-8/water interfaces with surface charge densities of 0.0 μC/cm</w:t>
      </w:r>
      <w:r>
        <w:rPr>
          <w:vertAlign w:val="superscript"/>
        </w:rPr>
        <w:t>2</w:t>
      </w:r>
      <w:r>
        <w:t xml:space="preserve"> and -14.6 μC/cm</w:t>
      </w:r>
      <w:r>
        <w:rPr>
          <w:vertAlign w:val="superscript"/>
        </w:rPr>
        <w:t>2</w:t>
      </w:r>
      <w:r>
        <w:t>. The Pt, O, H, C, N and K atoms are colored in silver, red, white, grey, blue and purple, respectively.</w:t>
      </w:r>
    </w:p>
    <w:p>
      <w:r>
        <w:br w:type="page"/>
      </w:r>
    </w:p>
    <w:p>
      <w:pPr>
        <w:jc w:val="center"/>
      </w:pPr>
      <w:r>
        <w:drawing>
          <wp:inline distT="0" distB="0" distL="0" distR="0">
            <wp:extent cx="4436110" cy="1604010"/>
            <wp:effectExtent l="0" t="0" r="2540" b="0"/>
            <wp:docPr id="1"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4"/>
                    <pic:cNvPicPr>
                      <a:picLocks noChangeAspect="1"/>
                    </pic:cNvPicPr>
                  </pic:nvPicPr>
                  <pic:blipFill>
                    <a:blip r:embed="rId10"/>
                    <a:stretch>
                      <a:fillRect/>
                    </a:stretch>
                  </pic:blipFill>
                  <pic:spPr>
                    <a:xfrm>
                      <a:off x="0" y="0"/>
                      <a:ext cx="4436110" cy="1604010"/>
                    </a:xfrm>
                    <a:prstGeom prst="rect">
                      <a:avLst/>
                    </a:prstGeom>
                  </pic:spPr>
                </pic:pic>
              </a:graphicData>
            </a:graphic>
          </wp:inline>
        </w:drawing>
      </w:r>
    </w:p>
    <w:p>
      <w:r>
        <w:rPr>
          <w:b/>
          <w:bCs/>
        </w:rPr>
        <w:t>Figure S7.</w:t>
      </w:r>
      <w:r>
        <w:t xml:space="preserve"> Representative snapshots of the Pt(111)-13/water interfaces with surface charge densities of 0.0 μC/cm</w:t>
      </w:r>
      <w:r>
        <w:rPr>
          <w:vertAlign w:val="superscript"/>
        </w:rPr>
        <w:t>2</w:t>
      </w:r>
      <w:r>
        <w:t>, -14.6 μC/cm</w:t>
      </w:r>
      <w:r>
        <w:rPr>
          <w:vertAlign w:val="superscript"/>
        </w:rPr>
        <w:t>2</w:t>
      </w:r>
      <w:r>
        <w:t xml:space="preserve"> and -29.2 μC/cm</w:t>
      </w:r>
      <w:r>
        <w:rPr>
          <w:vertAlign w:val="superscript"/>
        </w:rPr>
        <w:t>2</w:t>
      </w:r>
      <w:r>
        <w:t>. The Pt, O, H, C, N and K atoms are colored in silver, red, white, grey, blue and purple, respectively.</w:t>
      </w:r>
    </w:p>
    <w:p>
      <w:r>
        <w:br w:type="page"/>
      </w:r>
    </w:p>
    <w:p>
      <w:pPr>
        <w:jc w:val="center"/>
      </w:pPr>
      <w:r>
        <w:drawing>
          <wp:inline distT="0" distB="0" distL="0" distR="0">
            <wp:extent cx="4528185" cy="1544320"/>
            <wp:effectExtent l="0" t="0" r="5715" b="0"/>
            <wp:docPr id="4"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3"/>
                    <pic:cNvPicPr>
                      <a:picLocks noChangeAspect="1"/>
                    </pic:cNvPicPr>
                  </pic:nvPicPr>
                  <pic:blipFill>
                    <a:blip r:embed="rId11"/>
                    <a:stretch>
                      <a:fillRect/>
                    </a:stretch>
                  </pic:blipFill>
                  <pic:spPr>
                    <a:xfrm>
                      <a:off x="0" y="0"/>
                      <a:ext cx="4559794" cy="1555248"/>
                    </a:xfrm>
                    <a:prstGeom prst="rect">
                      <a:avLst/>
                    </a:prstGeom>
                  </pic:spPr>
                </pic:pic>
              </a:graphicData>
            </a:graphic>
          </wp:inline>
        </w:drawing>
      </w:r>
    </w:p>
    <w:p>
      <w:r>
        <w:rPr>
          <w:b/>
          <w:bCs/>
        </w:rPr>
        <w:t>Figure S8.</w:t>
      </w:r>
      <w:r>
        <w:t xml:space="preserve"> Representative snapshots of the Pt(111)-15/water interfaces with surface charge densities of 0.0 μC/cm</w:t>
      </w:r>
      <w:r>
        <w:rPr>
          <w:vertAlign w:val="superscript"/>
        </w:rPr>
        <w:t>2</w:t>
      </w:r>
      <w:r>
        <w:t>, -14.6 μC/cm</w:t>
      </w:r>
      <w:r>
        <w:rPr>
          <w:vertAlign w:val="superscript"/>
        </w:rPr>
        <w:t>2</w:t>
      </w:r>
      <w:r>
        <w:t xml:space="preserve"> and -29.2 μC/cm</w:t>
      </w:r>
      <w:r>
        <w:rPr>
          <w:vertAlign w:val="superscript"/>
        </w:rPr>
        <w:t>2</w:t>
      </w:r>
      <w:r>
        <w:t>. The Pt, O, H, C, N and K atoms are colored in silver, red, white, grey, blue and purple, respectively.</w:t>
      </w:r>
    </w:p>
    <w:p>
      <w:r>
        <w:br w:type="page"/>
      </w:r>
    </w:p>
    <w:p>
      <w:pPr>
        <w:jc w:val="center"/>
      </w:pPr>
      <w:r>
        <w:drawing>
          <wp:inline distT="0" distB="0" distL="0" distR="0">
            <wp:extent cx="5001260" cy="1927860"/>
            <wp:effectExtent l="0" t="0" r="8890" b="0"/>
            <wp:docPr id="7"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6"/>
                    <pic:cNvPicPr>
                      <a:picLocks noChangeAspect="1"/>
                    </pic:cNvPicPr>
                  </pic:nvPicPr>
                  <pic:blipFill>
                    <a:blip r:embed="rId12"/>
                    <a:srcRect t="6115" r="5163" b="875"/>
                    <a:stretch>
                      <a:fillRect/>
                    </a:stretch>
                  </pic:blipFill>
                  <pic:spPr>
                    <a:xfrm>
                      <a:off x="0" y="0"/>
                      <a:ext cx="5002040" cy="1928371"/>
                    </a:xfrm>
                    <a:prstGeom prst="rect">
                      <a:avLst/>
                    </a:prstGeom>
                    <a:ln>
                      <a:noFill/>
                    </a:ln>
                  </pic:spPr>
                </pic:pic>
              </a:graphicData>
            </a:graphic>
          </wp:inline>
        </w:drawing>
      </w:r>
    </w:p>
    <w:p>
      <w:r>
        <w:rPr>
          <w:b/>
          <w:bCs/>
        </w:rPr>
        <w:t>Figure S9.</w:t>
      </w:r>
      <w:r>
        <w:t xml:space="preserve"> (a) The change trend of electrode potential (U) referenced to the reversible hydrogen electrode (RHE) with the number of introduced alkali metal (AM</w:t>
      </w:r>
      <w:r>
        <w:rPr>
          <w:vertAlign w:val="superscript"/>
        </w:rPr>
        <w:t>+</w:t>
      </w:r>
      <w:r>
        <w:t xml:space="preserve">) cation (namely the negative charge density on electrode surface) for different systems. The </w:t>
      </w:r>
      <w:bookmarkStart w:id="0" w:name="OLE_LINK1"/>
      <w:r>
        <w:t>light grey shaded area</w:t>
      </w:r>
      <w:bookmarkEnd w:id="0"/>
      <w:r>
        <w:t xml:space="preserve"> represents the experimental HOR potential range in alkaline electrolyte. (b) Density distribution profiles of water at different interfaces. </w:t>
      </w:r>
    </w:p>
    <w:p>
      <w:r>
        <w:t xml:space="preserve">    </w:t>
      </w:r>
    </w:p>
    <w:p>
      <w:r>
        <w:t xml:space="preserve">  A</w:t>
      </w:r>
      <w:r>
        <w:rPr>
          <w:rFonts w:hint="eastAsia"/>
        </w:rPr>
        <w:t>s</w:t>
      </w:r>
      <w:r>
        <w:t xml:space="preserve"> shown in Figure S9a (converted from Figure 2b in the main text), when introducing three alkali metal (AM</w:t>
      </w:r>
      <w:r>
        <w:rPr>
          <w:vertAlign w:val="superscript"/>
        </w:rPr>
        <w:t>+</w:t>
      </w:r>
      <w:r>
        <w:t>) cations into the unmodified Pt(111)/water interface and two AM</w:t>
      </w:r>
      <w:r>
        <w:rPr>
          <w:vertAlign w:val="superscript"/>
        </w:rPr>
        <w:t>+</w:t>
      </w:r>
      <w:r>
        <w:t xml:space="preserve"> cations into Pt(111)-13/water interfaces, the electrode potentials (U vs RHE) can be adjusted into the </w:t>
      </w:r>
      <w:bookmarkStart w:id="1" w:name="OLE_LINK2"/>
      <w:r>
        <w:t xml:space="preserve">experimental alkaline HOR potential range </w:t>
      </w:r>
      <w:bookmarkEnd w:id="1"/>
      <w:r>
        <w:t>(light grey shaded area). By contrast, it can be seen that driving the electrode potential of Pt(111)-8/water interface to lie within the experimental potential range only requires less than one AM</w:t>
      </w:r>
      <w:r>
        <w:rPr>
          <w:vertAlign w:val="superscript"/>
        </w:rPr>
        <w:t>+</w:t>
      </w:r>
      <w:r>
        <w:t xml:space="preserve"> cation. This implies that the AM</w:t>
      </w:r>
      <w:r>
        <w:rPr>
          <w:vertAlign w:val="superscript"/>
        </w:rPr>
        <w:t>+</w:t>
      </w:r>
      <w:r>
        <w:t xml:space="preserve"> concentration in EDL will be much lower at Pt(111)-8/water interface under alkaline HOR conditions, thus leading to an excellent connectivity of interfacial water and hydrogen bond networks. Figure S9b can provide clear support for this scenario, which shows that the water densities within the gap zones at both Pt(111)-8/water interfaces containing zero and one K</w:t>
      </w:r>
      <w:r>
        <w:rPr>
          <w:vertAlign w:val="superscript"/>
        </w:rPr>
        <w:t>+</w:t>
      </w:r>
      <w:r>
        <w:t xml:space="preserve"> are distinctly higher, compared to the Pt(111)/water and Pt(111)-13/water interfaces at the alkaline HOR potentials. In addition, for the Pt(111)-15/water interface, it can be easily expected that a large number of AM</w:t>
      </w:r>
      <w:r>
        <w:rPr>
          <w:vertAlign w:val="superscript"/>
        </w:rPr>
        <w:t>+</w:t>
      </w:r>
      <w:r>
        <w:t xml:space="preserve"> cations need to be introduced to bring the electrode potential to the experimental alkaline HOR potential range, thereby leading to very serious crowding of AM</w:t>
      </w:r>
      <w:r>
        <w:rPr>
          <w:vertAlign w:val="superscript"/>
        </w:rPr>
        <w:t>+</w:t>
      </w:r>
      <w:r>
        <w:t xml:space="preserve"> cation in the EDL and very poor connectivity of interfacial water and hydrogen bonding networks. </w:t>
      </w:r>
    </w:p>
    <w:p>
      <w:r>
        <w:br w:type="page"/>
      </w:r>
    </w:p>
    <w:p>
      <w:pPr>
        <w:jc w:val="center"/>
      </w:pPr>
      <w:r>
        <w:drawing>
          <wp:inline distT="0" distB="0" distL="0" distR="0">
            <wp:extent cx="2906395" cy="2358390"/>
            <wp:effectExtent l="0" t="0" r="8255" b="3810"/>
            <wp:docPr id="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1"/>
                    <pic:cNvPicPr>
                      <a:picLocks noChangeAspect="1"/>
                    </pic:cNvPicPr>
                  </pic:nvPicPr>
                  <pic:blipFill>
                    <a:blip r:embed="rId13"/>
                    <a:srcRect l="3105" t="8777" r="12905" b="2132"/>
                    <a:stretch>
                      <a:fillRect/>
                    </a:stretch>
                  </pic:blipFill>
                  <pic:spPr>
                    <a:xfrm>
                      <a:off x="0" y="0"/>
                      <a:ext cx="2920126" cy="2369553"/>
                    </a:xfrm>
                    <a:prstGeom prst="rect">
                      <a:avLst/>
                    </a:prstGeom>
                    <a:ln>
                      <a:noFill/>
                    </a:ln>
                  </pic:spPr>
                </pic:pic>
              </a:graphicData>
            </a:graphic>
          </wp:inline>
        </w:drawing>
      </w:r>
    </w:p>
    <w:p>
      <w:r>
        <w:rPr>
          <w:b/>
          <w:bCs/>
        </w:rPr>
        <w:t>Figure S10.</w:t>
      </w:r>
      <w:r>
        <w:t xml:space="preserve"> Change trend of the adsorption free energy of *H (</w:t>
      </w:r>
      <w:r>
        <w:rPr>
          <w:rFonts w:ascii="Arial" w:hAnsi="Arial" w:cs="Arial"/>
        </w:rPr>
        <w:t>∆</w:t>
      </w:r>
      <w:r>
        <w:t>G</w:t>
      </w:r>
      <w:r>
        <w:rPr>
          <w:vertAlign w:val="subscript"/>
        </w:rPr>
        <w:t>*H</w:t>
      </w:r>
      <w:r>
        <w:t xml:space="preserve">) on Pt(111) with the surface negative charge density. The *H atoms are colored in green, and the coverage is 0.556 ML (monolayer). </w:t>
      </w:r>
    </w:p>
    <w:p/>
    <w:p>
      <w:r>
        <w:t xml:space="preserve">The </w:t>
      </w:r>
      <w:r>
        <w:rPr>
          <w:rFonts w:ascii="Arial" w:hAnsi="Arial" w:cs="Arial"/>
        </w:rPr>
        <w:t>∆</w:t>
      </w:r>
      <w:r>
        <w:t>G</w:t>
      </w:r>
      <w:r>
        <w:rPr>
          <w:vertAlign w:val="subscript"/>
        </w:rPr>
        <w:t xml:space="preserve">*H </w:t>
      </w:r>
      <w:r>
        <w:t>was calculated according to the following equation,</w:t>
      </w:r>
    </w:p>
    <w:p>
      <m:oMathPara>
        <m:oMath>
          <m:r>
            <m:rPr>
              <m:sty m:val="p"/>
            </m:rPr>
            <w:rPr>
              <w:rFonts w:ascii="Cambria Math" w:hAnsi="Cambria Math"/>
            </w:rPr>
            <m:t>∆</m:t>
          </m:r>
          <m:sSub>
            <m:sSubPr>
              <m:ctrlPr>
                <w:rPr>
                  <w:rFonts w:ascii="Cambria Math" w:hAnsi="Cambria Math"/>
                </w:rPr>
              </m:ctrlPr>
            </m:sSubPr>
            <m:e>
              <m:r>
                <m:rPr/>
                <w:rPr>
                  <w:rFonts w:ascii="Cambria Math" w:hAnsi="Cambria Math"/>
                </w:rPr>
                <m:t>G</m:t>
              </m:r>
              <m:ctrlPr>
                <w:rPr>
                  <w:rFonts w:ascii="Cambria Math" w:hAnsi="Cambria Math"/>
                </w:rPr>
              </m:ctrlPr>
            </m:e>
            <m:sub>
              <m:r>
                <m:rPr>
                  <m:sty m:val="p"/>
                </m:rPr>
                <w:rPr>
                  <w:rFonts w:ascii="Cambria Math" w:hAnsi="Cambria Math"/>
                </w:rPr>
                <m:t>∗</m:t>
              </m:r>
              <m:r>
                <m:rPr/>
                <w:rPr>
                  <w:rFonts w:ascii="Cambria Math" w:hAnsi="Cambria Math"/>
                </w:rPr>
                <m:t>H</m:t>
              </m:r>
              <m:ctrlPr>
                <w:rPr>
                  <w:rFonts w:ascii="Cambria Math" w:hAnsi="Cambria Math"/>
                </w:rPr>
              </m:ctrlPr>
            </m:sub>
          </m:sSub>
          <m:r>
            <m:rPr>
              <m:sty m:val="p"/>
            </m:rPr>
            <w:rPr>
              <w:rFonts w:ascii="Cambria Math" w:hAnsi="Cambria Math"/>
            </w:rPr>
            <m:t>=</m:t>
          </m:r>
          <m:f>
            <m:fPr>
              <m:ctrlPr>
                <w:rPr>
                  <w:rFonts w:ascii="Cambria Math" w:hAnsi="Cambria Math"/>
                </w:rPr>
              </m:ctrlPr>
            </m:fPr>
            <m:num>
              <m:r>
                <m:rPr/>
                <w:rPr>
                  <w:rFonts w:ascii="Cambria Math" w:hAnsi="Cambria Math"/>
                </w:rPr>
                <m:t>1</m:t>
              </m:r>
              <m:ctrlPr>
                <w:rPr>
                  <w:rFonts w:ascii="Cambria Math" w:hAnsi="Cambria Math"/>
                </w:rPr>
              </m:ctrlPr>
            </m:num>
            <m:den>
              <m:r>
                <m:rPr/>
                <w:rPr>
                  <w:rFonts w:ascii="Cambria Math" w:hAnsi="Cambria Math"/>
                </w:rPr>
                <m:t>5</m:t>
              </m:r>
              <m:ctrlPr>
                <w:rPr>
                  <w:rFonts w:ascii="Cambria Math" w:hAnsi="Cambria Math"/>
                </w:rPr>
              </m:ctrlPr>
            </m:den>
          </m:f>
          <m:r>
            <m:rPr>
              <m:sty m:val="p"/>
            </m:rPr>
            <w:rPr>
              <w:rFonts w:ascii="Cambria Math" w:hAnsi="Cambria Math"/>
            </w:rPr>
            <m:t>[</m:t>
          </m:r>
          <m:sSub>
            <m:sSubPr>
              <m:ctrlPr>
                <w:rPr>
                  <w:rFonts w:ascii="Cambria Math" w:hAnsi="Cambria Math"/>
                </w:rPr>
              </m:ctrlPr>
            </m:sSubPr>
            <m:e>
              <m:r>
                <m:rPr/>
                <w:rPr>
                  <w:rFonts w:ascii="Cambria Math" w:hAnsi="Cambria Math"/>
                </w:rPr>
                <m:t>E</m:t>
              </m:r>
              <m:ctrlPr>
                <w:rPr>
                  <w:rFonts w:ascii="Cambria Math" w:hAnsi="Cambria Math"/>
                </w:rPr>
              </m:ctrlPr>
            </m:e>
            <m:sub>
              <m:r>
                <m:rPr>
                  <m:sty m:val="p"/>
                </m:rPr>
                <w:rPr>
                  <w:rFonts w:ascii="Cambria Math" w:hAnsi="Cambria Math"/>
                </w:rPr>
                <m:t>∗</m:t>
              </m:r>
              <m:r>
                <m:rPr/>
                <w:rPr>
                  <w:rFonts w:ascii="Cambria Math" w:hAnsi="Cambria Math"/>
                </w:rPr>
                <m:t>H</m:t>
              </m:r>
              <m:ctrlPr>
                <w:rPr>
                  <w:rFonts w:ascii="Cambria Math" w:hAnsi="Cambria Math"/>
                </w:rPr>
              </m:ctrlPr>
            </m:sub>
          </m:sSub>
          <m:r>
            <m:rPr>
              <m:sty m:val="p"/>
            </m:rPr>
            <w:rPr>
              <w:rFonts w:ascii="Cambria Math" w:hAnsi="Cambria Math"/>
            </w:rPr>
            <m:t>−</m:t>
          </m:r>
          <m:sSub>
            <m:sSubPr>
              <m:ctrlPr>
                <w:rPr>
                  <w:rFonts w:ascii="Cambria Math" w:hAnsi="Cambria Math"/>
                </w:rPr>
              </m:ctrlPr>
            </m:sSubPr>
            <m:e>
              <m:r>
                <m:rPr/>
                <w:rPr>
                  <w:rFonts w:ascii="Cambria Math" w:hAnsi="Cambria Math"/>
                </w:rPr>
                <m:t>E</m:t>
              </m:r>
              <m:ctrlPr>
                <w:rPr>
                  <w:rFonts w:ascii="Cambria Math" w:hAnsi="Cambria Math"/>
                </w:rPr>
              </m:ctrlPr>
            </m:e>
            <m:sub>
              <m:r>
                <m:rPr>
                  <m:sty m:val="p"/>
                </m:rPr>
                <w:rPr>
                  <w:rFonts w:ascii="Cambria Math" w:hAnsi="Cambria Math"/>
                </w:rPr>
                <m:t>∗</m:t>
              </m:r>
              <m:ctrlPr>
                <w:rPr>
                  <w:rFonts w:ascii="Cambria Math" w:hAnsi="Cambria Math"/>
                </w:rPr>
              </m:ctrlPr>
            </m:sub>
          </m:sSub>
          <m:r>
            <m:rPr>
              <m:sty m:val="p"/>
            </m:rPr>
            <w:rPr>
              <w:rFonts w:ascii="Cambria Math" w:hAnsi="Cambria Math"/>
            </w:rPr>
            <m:t xml:space="preserve">+5 </m:t>
          </m:r>
          <m:d>
            <m:dPr>
              <m:ctrlPr>
                <w:rPr>
                  <w:rFonts w:ascii="Cambria Math" w:hAnsi="Cambria Math"/>
                </w:rPr>
              </m:ctrlPr>
            </m:dPr>
            <m:e>
              <m:sSub>
                <m:sSubPr>
                  <m:ctrlPr>
                    <w:rPr>
                      <w:rFonts w:ascii="Cambria Math" w:hAnsi="Cambria Math"/>
                    </w:rPr>
                  </m:ctrlPr>
                </m:sSubPr>
                <m:e>
                  <m:r>
                    <m:rPr/>
                    <w:rPr>
                      <w:rFonts w:ascii="Cambria Math" w:hAnsi="Cambria Math"/>
                    </w:rPr>
                    <m:t>ZPE</m:t>
                  </m:r>
                  <m:ctrlPr>
                    <w:rPr>
                      <w:rFonts w:ascii="Cambria Math" w:hAnsi="Cambria Math"/>
                    </w:rPr>
                  </m:ctrlPr>
                </m:e>
                <m:sub>
                  <m:r>
                    <m:rPr>
                      <m:sty m:val="p"/>
                    </m:rPr>
                    <w:rPr>
                      <w:rFonts w:ascii="Cambria Math" w:hAnsi="Cambria Math"/>
                    </w:rPr>
                    <m:t>∗</m:t>
                  </m:r>
                  <m:r>
                    <m:rPr/>
                    <w:rPr>
                      <w:rFonts w:ascii="Cambria Math" w:hAnsi="Cambria Math"/>
                    </w:rPr>
                    <m:t>H</m:t>
                  </m:r>
                  <m:ctrlPr>
                    <w:rPr>
                      <w:rFonts w:ascii="Cambria Math" w:hAnsi="Cambria Math"/>
                    </w:rPr>
                  </m:ctrlPr>
                </m:sub>
              </m:sSub>
              <m:r>
                <m:rPr>
                  <m:sty m:val="p"/>
                </m:rPr>
                <w:rPr>
                  <w:rFonts w:ascii="Cambria Math" w:hAnsi="Cambria Math"/>
                </w:rPr>
                <m:t>−</m:t>
              </m:r>
              <m:sSub>
                <m:sSubPr>
                  <m:ctrlPr>
                    <w:rPr>
                      <w:rFonts w:ascii="Cambria Math" w:hAnsi="Cambria Math"/>
                    </w:rPr>
                  </m:ctrlPr>
                </m:sSubPr>
                <m:e>
                  <m:r>
                    <m:rPr/>
                    <w:rPr>
                      <w:rFonts w:ascii="Cambria Math" w:hAnsi="Cambria Math"/>
                    </w:rPr>
                    <m:t>TS</m:t>
                  </m:r>
                  <m:ctrlPr>
                    <w:rPr>
                      <w:rFonts w:ascii="Cambria Math" w:hAnsi="Cambria Math"/>
                    </w:rPr>
                  </m:ctrlPr>
                </m:e>
                <m:sub>
                  <m:r>
                    <m:rPr>
                      <m:sty m:val="p"/>
                    </m:rPr>
                    <w:rPr>
                      <w:rFonts w:ascii="Cambria Math" w:hAnsi="Cambria Math"/>
                    </w:rPr>
                    <m:t>∗</m:t>
                  </m:r>
                  <m:r>
                    <m:rPr/>
                    <w:rPr>
                      <w:rFonts w:ascii="Cambria Math" w:hAnsi="Cambria Math"/>
                    </w:rPr>
                    <m:t>H</m:t>
                  </m:r>
                  <m:ctrlPr>
                    <w:rPr>
                      <w:rFonts w:ascii="Cambria Math" w:hAnsi="Cambria Math"/>
                    </w:rPr>
                  </m:ctrlPr>
                </m:sub>
              </m:sSub>
              <m:ctrlPr>
                <w:rPr>
                  <w:rFonts w:ascii="Cambria Math" w:hAnsi="Cambria Math"/>
                </w:rPr>
              </m:ctrlPr>
            </m:e>
          </m:d>
          <m:r>
            <m:rPr>
              <m:sty m:val="p"/>
            </m:rPr>
            <w:rPr>
              <w:rFonts w:ascii="Cambria Math" w:hAnsi="Cambria Math"/>
            </w:rPr>
            <m:t>−</m:t>
          </m:r>
          <m:f>
            <m:fPr>
              <m:ctrlPr>
                <w:rPr>
                  <w:rFonts w:ascii="Cambria Math" w:hAnsi="Cambria Math"/>
                </w:rPr>
              </m:ctrlPr>
            </m:fPr>
            <m:num>
              <m:r>
                <m:rPr>
                  <m:sty m:val="p"/>
                </m:rPr>
                <w:rPr>
                  <w:rFonts w:ascii="Cambria Math" w:hAnsi="Cambria Math"/>
                </w:rPr>
                <m:t>5</m:t>
              </m:r>
              <m:ctrlPr>
                <w:rPr>
                  <w:rFonts w:ascii="Cambria Math" w:hAnsi="Cambria Math"/>
                </w:rPr>
              </m:ctrlPr>
            </m:num>
            <m:den>
              <m:r>
                <m:rPr>
                  <m:sty m:val="p"/>
                </m:rPr>
                <w:rPr>
                  <w:rFonts w:ascii="Cambria Math" w:hAnsi="Cambria Math"/>
                </w:rPr>
                <m:t>2</m:t>
              </m:r>
              <m:ctrlPr>
                <w:rPr>
                  <w:rFonts w:ascii="Cambria Math" w:hAnsi="Cambria Math"/>
                </w:rPr>
              </m:ctrlPr>
            </m:den>
          </m:f>
          <m:r>
            <m:rPr>
              <m:sty m:val="p"/>
            </m:rPr>
            <w:rPr>
              <w:rFonts w:ascii="Cambria Math" w:hAnsi="Cambria Math"/>
            </w:rPr>
            <m:t xml:space="preserve"> </m:t>
          </m:r>
          <m:sSub>
            <m:sSubPr>
              <m:ctrlPr>
                <w:rPr>
                  <w:rFonts w:ascii="Cambria Math" w:hAnsi="Cambria Math"/>
                </w:rPr>
              </m:ctrlPr>
            </m:sSubPr>
            <m:e>
              <m:r>
                <m:rPr>
                  <m:sty m:val="p"/>
                </m:rPr>
                <w:rPr>
                  <w:rFonts w:ascii="Cambria Math" w:hAnsi="Cambria Math"/>
                </w:rPr>
                <m:t>(</m:t>
              </m:r>
              <m:r>
                <m:rPr/>
                <w:rPr>
                  <w:rFonts w:ascii="Cambria Math" w:hAnsi="Cambria Math"/>
                </w:rPr>
                <m:t>E</m:t>
              </m:r>
              <m:ctrlPr>
                <w:rPr>
                  <w:rFonts w:ascii="Cambria Math" w:hAnsi="Cambria Math"/>
                </w:rPr>
              </m:ctrlPr>
            </m:e>
            <m:sub>
              <m:sSub>
                <m:sSubPr>
                  <m:ctrlPr>
                    <w:rPr>
                      <w:rFonts w:ascii="Cambria Math" w:hAnsi="Cambria Math"/>
                    </w:rPr>
                  </m:ctrlPr>
                </m:sSubPr>
                <m:e>
                  <m:r>
                    <m:rPr/>
                    <w:rPr>
                      <w:rFonts w:ascii="Cambria Math" w:hAnsi="Cambria Math"/>
                    </w:rPr>
                    <m:t>H</m:t>
                  </m:r>
                  <m:ctrlPr>
                    <w:rPr>
                      <w:rFonts w:ascii="Cambria Math" w:hAnsi="Cambria Math"/>
                    </w:rPr>
                  </m:ctrlPr>
                </m:e>
                <m:sub>
                  <m:r>
                    <m:rPr>
                      <m:sty m:val="p"/>
                    </m:rPr>
                    <w:rPr>
                      <w:rFonts w:ascii="Cambria Math" w:hAnsi="Cambria Math"/>
                    </w:rPr>
                    <m:t>2</m:t>
                  </m:r>
                  <m:ctrlPr>
                    <w:rPr>
                      <w:rFonts w:ascii="Cambria Math" w:hAnsi="Cambria Math"/>
                    </w:rPr>
                  </m:ctrlPr>
                </m:sub>
              </m:sSub>
              <m:ctrlPr>
                <w:rPr>
                  <w:rFonts w:ascii="Cambria Math" w:hAnsi="Cambria Math"/>
                </w:rPr>
              </m:ctrlPr>
            </m:sub>
          </m:sSub>
          <m:sSub>
            <m:sSubPr>
              <m:ctrlPr>
                <w:rPr>
                  <w:rFonts w:ascii="Cambria Math" w:hAnsi="Cambria Math"/>
                </w:rPr>
              </m:ctrlPr>
            </m:sSubPr>
            <m:e>
              <m:r>
                <m:rPr>
                  <m:sty m:val="p"/>
                </m:rPr>
                <w:rPr>
                  <w:rFonts w:ascii="Cambria Math" w:hAnsi="Cambria Math"/>
                </w:rPr>
                <m:t>+</m:t>
              </m:r>
              <m:r>
                <m:rPr/>
                <w:rPr>
                  <w:rFonts w:ascii="Cambria Math" w:hAnsi="Cambria Math"/>
                </w:rPr>
                <m:t>ZPE</m:t>
              </m:r>
              <m:ctrlPr>
                <w:rPr>
                  <w:rFonts w:ascii="Cambria Math" w:hAnsi="Cambria Math"/>
                </w:rPr>
              </m:ctrlPr>
            </m:e>
            <m:sub>
              <m:sSub>
                <m:sSubPr>
                  <m:ctrlPr>
                    <w:rPr>
                      <w:rFonts w:ascii="Cambria Math" w:hAnsi="Cambria Math"/>
                    </w:rPr>
                  </m:ctrlPr>
                </m:sSubPr>
                <m:e>
                  <m:r>
                    <m:rPr/>
                    <w:rPr>
                      <w:rFonts w:ascii="Cambria Math" w:hAnsi="Cambria Math"/>
                    </w:rPr>
                    <m:t>H</m:t>
                  </m:r>
                  <m:ctrlPr>
                    <w:rPr>
                      <w:rFonts w:ascii="Cambria Math" w:hAnsi="Cambria Math"/>
                    </w:rPr>
                  </m:ctrlPr>
                </m:e>
                <m:sub>
                  <m:r>
                    <m:rPr>
                      <m:sty m:val="p"/>
                    </m:rPr>
                    <w:rPr>
                      <w:rFonts w:ascii="Cambria Math" w:hAnsi="Cambria Math"/>
                    </w:rPr>
                    <m:t>2</m:t>
                  </m:r>
                  <m:ctrlPr>
                    <w:rPr>
                      <w:rFonts w:ascii="Cambria Math" w:hAnsi="Cambria Math"/>
                    </w:rPr>
                  </m:ctrlPr>
                </m:sub>
              </m:sSub>
              <m:ctrlPr>
                <w:rPr>
                  <w:rFonts w:ascii="Cambria Math" w:hAnsi="Cambria Math"/>
                </w:rPr>
              </m:ctrlPr>
            </m:sub>
          </m:sSub>
          <m:r>
            <m:rPr>
              <m:sty m:val="p"/>
            </m:rPr>
            <w:rPr>
              <w:rFonts w:ascii="Cambria Math" w:hAnsi="Cambria Math"/>
            </w:rPr>
            <m:t>−</m:t>
          </m:r>
          <m:sSub>
            <m:sSubPr>
              <m:ctrlPr>
                <w:rPr>
                  <w:rFonts w:ascii="Cambria Math" w:hAnsi="Cambria Math"/>
                </w:rPr>
              </m:ctrlPr>
            </m:sSubPr>
            <m:e>
              <m:r>
                <m:rPr/>
                <w:rPr>
                  <w:rFonts w:ascii="Cambria Math" w:hAnsi="Cambria Math"/>
                </w:rPr>
                <m:t>TS</m:t>
              </m:r>
              <m:ctrlPr>
                <w:rPr>
                  <w:rFonts w:ascii="Cambria Math" w:hAnsi="Cambria Math"/>
                </w:rPr>
              </m:ctrlPr>
            </m:e>
            <m:sub>
              <m:sSub>
                <m:sSubPr>
                  <m:ctrlPr>
                    <w:rPr>
                      <w:rFonts w:ascii="Cambria Math" w:hAnsi="Cambria Math"/>
                    </w:rPr>
                  </m:ctrlPr>
                </m:sSubPr>
                <m:e>
                  <m:r>
                    <m:rPr/>
                    <w:rPr>
                      <w:rFonts w:ascii="Cambria Math" w:hAnsi="Cambria Math"/>
                    </w:rPr>
                    <m:t>H</m:t>
                  </m:r>
                  <m:ctrlPr>
                    <w:rPr>
                      <w:rFonts w:ascii="Cambria Math" w:hAnsi="Cambria Math"/>
                    </w:rPr>
                  </m:ctrlPr>
                </m:e>
                <m:sub>
                  <m:r>
                    <m:rPr>
                      <m:sty m:val="p"/>
                    </m:rPr>
                    <w:rPr>
                      <w:rFonts w:ascii="Cambria Math" w:hAnsi="Cambria Math"/>
                    </w:rPr>
                    <m:t>2</m:t>
                  </m:r>
                  <m:ctrlPr>
                    <w:rPr>
                      <w:rFonts w:ascii="Cambria Math" w:hAnsi="Cambria Math"/>
                    </w:rPr>
                  </m:ctrlPr>
                </m:sub>
              </m:sSub>
              <m:ctrlPr>
                <w:rPr>
                  <w:rFonts w:ascii="Cambria Math" w:hAnsi="Cambria Math"/>
                </w:rPr>
              </m:ctrlPr>
            </m:sub>
          </m:sSub>
          <m:r>
            <m:rPr>
              <m:sty m:val="p"/>
            </m:rPr>
            <w:rPr>
              <w:rFonts w:ascii="Cambria Math" w:hAnsi="Cambria Math"/>
            </w:rPr>
            <m:t>)]</m:t>
          </m:r>
        </m:oMath>
      </m:oMathPara>
    </w:p>
    <w:p>
      <w:r>
        <w:t xml:space="preserve">where the </w:t>
      </w:r>
      <m:oMath>
        <m:sSub>
          <m:sSubPr>
            <m:ctrlPr>
              <w:rPr>
                <w:rFonts w:ascii="Cambria Math" w:hAnsi="Cambria Math"/>
                <w:i/>
              </w:rPr>
            </m:ctrlPr>
          </m:sSubPr>
          <m:e>
            <m:r>
              <m:rPr/>
              <w:rPr>
                <w:rFonts w:ascii="Cambria Math" w:hAnsi="Cambria Math"/>
              </w:rPr>
              <m:t>E</m:t>
            </m:r>
            <m:ctrlPr>
              <w:rPr>
                <w:rFonts w:ascii="Cambria Math" w:hAnsi="Cambria Math"/>
                <w:i/>
              </w:rPr>
            </m:ctrlPr>
          </m:e>
          <m:sub>
            <m:r>
              <m:rPr/>
              <w:rPr>
                <w:rFonts w:ascii="Cambria Math" w:hAnsi="Cambria Math"/>
              </w:rPr>
              <m:t>∗H</m:t>
            </m:r>
            <m:ctrlPr>
              <w:rPr>
                <w:rFonts w:ascii="Cambria Math" w:hAnsi="Cambria Math"/>
                <w:i/>
              </w:rPr>
            </m:ctrlPr>
          </m:sub>
        </m:sSub>
      </m:oMath>
      <w:r>
        <w:t xml:space="preserve">, </w:t>
      </w:r>
      <m:oMath>
        <m:sSub>
          <m:sSubPr>
            <m:ctrlPr>
              <w:rPr>
                <w:rFonts w:ascii="Cambria Math" w:hAnsi="Cambria Math"/>
                <w:i/>
              </w:rPr>
            </m:ctrlPr>
          </m:sSubPr>
          <m:e>
            <m:r>
              <m:rPr/>
              <w:rPr>
                <w:rFonts w:ascii="Cambria Math" w:hAnsi="Cambria Math"/>
              </w:rPr>
              <m:t>E</m:t>
            </m:r>
            <m:ctrlPr>
              <w:rPr>
                <w:rFonts w:ascii="Cambria Math" w:hAnsi="Cambria Math"/>
                <w:i/>
              </w:rPr>
            </m:ctrlPr>
          </m:e>
          <m:sub>
            <m:r>
              <m:rPr/>
              <w:rPr>
                <w:rFonts w:ascii="Cambria Math" w:hAnsi="Cambria Math"/>
              </w:rPr>
              <m:t>∗</m:t>
            </m:r>
            <m:ctrlPr>
              <w:rPr>
                <w:rFonts w:ascii="Cambria Math" w:hAnsi="Cambria Math"/>
                <w:i/>
              </w:rPr>
            </m:ctrlPr>
          </m:sub>
        </m:sSub>
      </m:oMath>
      <w:r>
        <w:t xml:space="preserve">, </w:t>
      </w:r>
      <m:oMath>
        <m:r>
          <m:rPr/>
          <w:rPr>
            <w:rFonts w:ascii="Cambria Math" w:hAnsi="Cambria Math"/>
          </w:rPr>
          <m:t>ZPE</m:t>
        </m:r>
      </m:oMath>
      <w:r>
        <w:t xml:space="preserve"> and </w:t>
      </w:r>
      <m:oMath>
        <m:r>
          <m:rPr/>
          <w:rPr>
            <w:rFonts w:ascii="Cambria Math" w:hAnsi="Cambria Math"/>
          </w:rPr>
          <m:t>TS</m:t>
        </m:r>
      </m:oMath>
      <w:r>
        <w:t xml:space="preserve"> are the total energy of *H adsorbed Pt(111) surface, the total energy of bare Pt(111) surface, the zero point energy and vibrational entropy of various species, respectively. </w:t>
      </w:r>
    </w:p>
    <w:p>
      <w:pPr>
        <w:jc w:val="center"/>
      </w:pPr>
      <w:r>
        <w:t xml:space="preserve">  Figure S10 clearly shows that the adsorption strength of *H intermediate on Pt(111) gradually increases with the surface negative charge decreasing. Therefore, it can be predicted that the fairly lower surface negative charge density at Pt(111)-8/water interface would possess much higher *H adsorption strength, which instead is detrimental to the HOR kinetics. </w:t>
      </w:r>
    </w:p>
    <w:p>
      <w:r>
        <w:br w:type="page"/>
      </w:r>
    </w:p>
    <w:p>
      <w:pPr>
        <w:jc w:val="center"/>
      </w:pPr>
      <w:r>
        <w:drawing>
          <wp:inline distT="0" distB="0" distL="0" distR="0">
            <wp:extent cx="3237230" cy="2747645"/>
            <wp:effectExtent l="0" t="0" r="1270" b="0"/>
            <wp:docPr id="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1"/>
                    <pic:cNvPicPr>
                      <a:picLocks noChangeAspect="1"/>
                    </pic:cNvPicPr>
                  </pic:nvPicPr>
                  <pic:blipFill>
                    <a:blip r:embed="rId14"/>
                    <a:stretch>
                      <a:fillRect/>
                    </a:stretch>
                  </pic:blipFill>
                  <pic:spPr>
                    <a:xfrm>
                      <a:off x="0" y="0"/>
                      <a:ext cx="3252014" cy="2759866"/>
                    </a:xfrm>
                    <a:prstGeom prst="rect">
                      <a:avLst/>
                    </a:prstGeom>
                  </pic:spPr>
                </pic:pic>
              </a:graphicData>
            </a:graphic>
          </wp:inline>
        </w:drawing>
      </w:r>
    </w:p>
    <w:p>
      <w:r>
        <w:rPr>
          <w:b/>
          <w:bCs/>
        </w:rPr>
        <w:t>Figure S11.</w:t>
      </w:r>
      <w:r>
        <w:t xml:space="preserve"> The predicted alkaline HOR kinetic volcano relation for the organic molecule modified Pt catalysts.</w:t>
      </w:r>
    </w:p>
    <w:p>
      <w:r>
        <w:br w:type="page"/>
      </w:r>
    </w:p>
    <w:p>
      <w:r>
        <w:drawing>
          <wp:inline distT="0" distB="0" distL="0" distR="0">
            <wp:extent cx="5274310" cy="2009140"/>
            <wp:effectExtent l="0" t="0" r="2540" b="0"/>
            <wp:docPr id="1368148762"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68148762" name="图片 4"/>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a:xfrm>
                      <a:off x="0" y="0"/>
                      <a:ext cx="5274310" cy="2009140"/>
                    </a:xfrm>
                    <a:prstGeom prst="rect">
                      <a:avLst/>
                    </a:prstGeom>
                    <a:noFill/>
                    <a:ln>
                      <a:noFill/>
                    </a:ln>
                  </pic:spPr>
                </pic:pic>
              </a:graphicData>
            </a:graphic>
          </wp:inline>
        </w:drawing>
      </w:r>
    </w:p>
    <w:p>
      <w:pPr>
        <w:rPr>
          <w:rFonts w:hint="eastAsia"/>
        </w:rPr>
      </w:pPr>
      <w:r>
        <w:rPr>
          <w:rFonts w:hint="eastAsia"/>
          <w:b/>
        </w:rPr>
        <w:t>Figure S</w:t>
      </w:r>
      <w:r>
        <w:rPr>
          <w:b/>
        </w:rPr>
        <w:t>12</w:t>
      </w:r>
      <w:r>
        <w:rPr>
          <w:rFonts w:hint="eastAsia"/>
          <w:b/>
        </w:rPr>
        <w:t>.</w:t>
      </w:r>
      <w:r>
        <w:rPr>
          <w:rFonts w:hint="eastAsia"/>
        </w:rPr>
        <w:t xml:space="preserve"> Cyclic voltammetry of Pt/C and Pt/C-x at 20 mV s</w:t>
      </w:r>
      <w:r>
        <w:rPr>
          <w:rFonts w:hint="eastAsia"/>
          <w:color w:val="000000" w:themeColor="text1"/>
          <w:vertAlign w:val="superscript"/>
          <w14:textFill>
            <w14:solidFill>
              <w14:schemeClr w14:val="tx1"/>
            </w14:solidFill>
          </w14:textFill>
        </w:rPr>
        <w:t>-1</w:t>
      </w:r>
      <w:r>
        <w:rPr>
          <w:rFonts w:hint="eastAsia"/>
          <w:color w:val="000000" w:themeColor="text1"/>
          <w14:textFill>
            <w14:solidFill>
              <w14:schemeClr w14:val="tx1"/>
            </w14:solidFill>
          </w14:textFill>
        </w:rPr>
        <w:t xml:space="preserve"> </w:t>
      </w:r>
      <w:r>
        <w:rPr>
          <w:rFonts w:hint="eastAsia"/>
        </w:rPr>
        <w:t>in 0.1 M KOH solution.</w:t>
      </w:r>
    </w:p>
    <w:p>
      <w:pPr>
        <w:rPr>
          <w:rFonts w:hint="eastAsia"/>
        </w:rPr>
      </w:pPr>
      <w:r>
        <w:rPr>
          <w:rFonts w:hint="eastAsia"/>
        </w:rPr>
        <w:br w:type="page"/>
      </w:r>
    </w:p>
    <w:p/>
    <w:p>
      <w:r>
        <w:drawing>
          <wp:inline distT="0" distB="0" distL="0" distR="0">
            <wp:extent cx="5039995" cy="3940175"/>
            <wp:effectExtent l="0" t="0" r="8255" b="3175"/>
            <wp:docPr id="801848296"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1848296" name="图片 5"/>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a:xfrm>
                      <a:off x="0" y="0"/>
                      <a:ext cx="5040000" cy="3940496"/>
                    </a:xfrm>
                    <a:prstGeom prst="rect">
                      <a:avLst/>
                    </a:prstGeom>
                    <a:noFill/>
                    <a:ln>
                      <a:noFill/>
                    </a:ln>
                  </pic:spPr>
                </pic:pic>
              </a:graphicData>
            </a:graphic>
          </wp:inline>
        </w:drawing>
      </w:r>
    </w:p>
    <w:p>
      <w:pPr>
        <w:rPr>
          <w:rFonts w:hint="eastAsia"/>
        </w:rPr>
      </w:pPr>
      <w:r>
        <w:rPr>
          <w:rFonts w:hint="eastAsia"/>
          <w:b/>
        </w:rPr>
        <w:t>Figure S</w:t>
      </w:r>
      <w:r>
        <w:rPr>
          <w:b/>
        </w:rPr>
        <w:t>13</w:t>
      </w:r>
      <w:r>
        <w:rPr>
          <w:rFonts w:hint="eastAsia"/>
          <w:b/>
        </w:rPr>
        <w:t>.</w:t>
      </w:r>
      <w:r>
        <w:rPr>
          <w:rFonts w:hint="eastAsia"/>
        </w:rPr>
        <w:t xml:space="preserve"> R</w:t>
      </w:r>
      <w:r>
        <w:t>epresentative</w:t>
      </w:r>
      <w:r>
        <w:rPr>
          <w:rFonts w:hint="eastAsia"/>
        </w:rPr>
        <w:t xml:space="preserve"> cyclic voltammetry of Pt/C-x (x = 3, </w:t>
      </w:r>
      <w:r>
        <w:t>5</w:t>
      </w:r>
      <w:r>
        <w:rPr>
          <w:rFonts w:hint="eastAsia"/>
        </w:rPr>
        <w:t xml:space="preserve">, </w:t>
      </w:r>
      <w:r>
        <w:t>8</w:t>
      </w:r>
      <w:r>
        <w:rPr>
          <w:rFonts w:hint="eastAsia"/>
        </w:rPr>
        <w:t xml:space="preserve"> and 1</w:t>
      </w:r>
      <w:r>
        <w:t>3</w:t>
      </w:r>
      <w:r>
        <w:rPr>
          <w:rFonts w:hint="eastAsia"/>
        </w:rPr>
        <w:t>) for four cycles at 20 mV s</w:t>
      </w:r>
      <w:r>
        <w:rPr>
          <w:rFonts w:hint="eastAsia"/>
          <w:color w:val="000000" w:themeColor="text1"/>
          <w:vertAlign w:val="superscript"/>
          <w14:textFill>
            <w14:solidFill>
              <w14:schemeClr w14:val="tx1"/>
            </w14:solidFill>
          </w14:textFill>
        </w:rPr>
        <w:t>-1</w:t>
      </w:r>
      <w:r>
        <w:rPr>
          <w:rFonts w:hint="eastAsia"/>
          <w:color w:val="000000" w:themeColor="text1"/>
          <w14:textFill>
            <w14:solidFill>
              <w14:schemeClr w14:val="tx1"/>
            </w14:solidFill>
          </w14:textFill>
        </w:rPr>
        <w:t xml:space="preserve"> </w:t>
      </w:r>
      <w:r>
        <w:rPr>
          <w:rFonts w:hint="eastAsia"/>
        </w:rPr>
        <w:t>in 0.1 M KOH solution.</w:t>
      </w:r>
    </w:p>
    <w:p>
      <w:pPr>
        <w:rPr>
          <w:rFonts w:hint="eastAsia"/>
        </w:rPr>
      </w:pPr>
      <w:r>
        <w:rPr>
          <w:rFonts w:hint="eastAsia"/>
        </w:rPr>
        <w:br w:type="page"/>
      </w:r>
    </w:p>
    <w:p>
      <w:r>
        <w:drawing>
          <wp:inline distT="0" distB="0" distL="0" distR="0">
            <wp:extent cx="5274310" cy="7360285"/>
            <wp:effectExtent l="0" t="0" r="2540" b="0"/>
            <wp:docPr id="248467963"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8467963" name="图片 6"/>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a:xfrm>
                      <a:off x="0" y="0"/>
                      <a:ext cx="5274310" cy="7360285"/>
                    </a:xfrm>
                    <a:prstGeom prst="rect">
                      <a:avLst/>
                    </a:prstGeom>
                    <a:noFill/>
                    <a:ln>
                      <a:noFill/>
                    </a:ln>
                  </pic:spPr>
                </pic:pic>
              </a:graphicData>
            </a:graphic>
          </wp:inline>
        </w:drawing>
      </w:r>
    </w:p>
    <w:p>
      <w:pPr>
        <w:rPr>
          <w:rFonts w:hint="eastAsia"/>
        </w:rPr>
      </w:pPr>
      <w:r>
        <w:rPr>
          <w:rFonts w:hint="eastAsia"/>
          <w:b/>
        </w:rPr>
        <w:t>Figure S</w:t>
      </w:r>
      <w:r>
        <w:rPr>
          <w:b/>
        </w:rPr>
        <w:t>14</w:t>
      </w:r>
      <w:r>
        <w:rPr>
          <w:rFonts w:hint="eastAsia"/>
          <w:b/>
        </w:rPr>
        <w:t>.</w:t>
      </w:r>
      <w:r>
        <w:rPr>
          <w:rFonts w:hint="eastAsia"/>
        </w:rPr>
        <w:t xml:space="preserve"> CO stripping curves of Pt/C and Pt/C-x at 20 mV s</w:t>
      </w:r>
      <w:r>
        <w:rPr>
          <w:rFonts w:hint="eastAsia"/>
          <w:color w:val="000000" w:themeColor="text1"/>
          <w:vertAlign w:val="superscript"/>
          <w14:textFill>
            <w14:solidFill>
              <w14:schemeClr w14:val="tx1"/>
            </w14:solidFill>
          </w14:textFill>
        </w:rPr>
        <w:t>-1</w:t>
      </w:r>
      <w:r>
        <w:rPr>
          <w:rFonts w:hint="eastAsia"/>
          <w:color w:val="000000" w:themeColor="text1"/>
          <w14:textFill>
            <w14:solidFill>
              <w14:schemeClr w14:val="tx1"/>
            </w14:solidFill>
          </w14:textFill>
        </w:rPr>
        <w:t xml:space="preserve"> </w:t>
      </w:r>
      <w:r>
        <w:rPr>
          <w:rFonts w:hint="eastAsia"/>
        </w:rPr>
        <w:t>in 0.1 M KOH solution.</w:t>
      </w:r>
    </w:p>
    <w:p>
      <w:pPr>
        <w:rPr>
          <w:rFonts w:hint="eastAsia"/>
        </w:rPr>
      </w:pPr>
      <w:r>
        <w:rPr>
          <w:rFonts w:hint="eastAsia"/>
        </w:rPr>
        <w:br w:type="page"/>
      </w:r>
    </w:p>
    <w:p>
      <w:r>
        <w:rPr>
          <w:rFonts w:hint="eastAsia" w:cs="Times New Roman"/>
          <w:b/>
        </w:rPr>
        <w:t>Table S2</w:t>
      </w:r>
      <w:r>
        <w:rPr>
          <w:rFonts w:hint="eastAsia" w:cs="Times New Roman"/>
        </w:rPr>
        <w:t xml:space="preserve"> The</w:t>
      </w:r>
      <w:r>
        <w:rPr>
          <w:rFonts w:hint="eastAsia"/>
        </w:rPr>
        <w:t xml:space="preserve"> electrochemical surface areas (ECSA) of Pt/C and Pt/C-x obtained from CO stripping</w:t>
      </w:r>
      <w:r>
        <w:rPr>
          <w:rFonts w:hint="eastAsia" w:cs="Times New Roman"/>
        </w:rPr>
        <w:t xml:space="preserve">. </w:t>
      </w:r>
      <w:r>
        <w:rPr>
          <w:rFonts w:hint="eastAsia"/>
        </w:rPr>
        <w:t>The standard deviation of ECSA was obtained from three independent measurements.</w:t>
      </w:r>
    </w:p>
    <w:tbl>
      <w:tblPr>
        <w:tblStyle w:val="7"/>
        <w:tblW w:w="0" w:type="auto"/>
        <w:jc w:val="center"/>
        <w:tblBorders>
          <w:top w:val="single" w:color="auto" w:sz="4" w:space="0"/>
          <w:left w:val="none" w:color="auto" w:sz="0" w:space="0"/>
          <w:bottom w:val="single" w:color="auto" w:sz="4"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3865"/>
        <w:gridCol w:w="4161"/>
      </w:tblGrid>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3865" w:type="dxa"/>
            <w:tcBorders>
              <w:top w:val="single" w:color="auto" w:sz="4" w:space="0"/>
              <w:bottom w:val="single" w:color="auto" w:sz="4" w:space="0"/>
            </w:tcBorders>
          </w:tcPr>
          <w:p>
            <w:pPr>
              <w:jc w:val="center"/>
            </w:pPr>
            <w:r>
              <w:rPr>
                <w:rFonts w:hint="eastAsia"/>
              </w:rPr>
              <w:t>Sample</w:t>
            </w:r>
          </w:p>
        </w:tc>
        <w:tc>
          <w:tcPr>
            <w:tcW w:w="4161" w:type="dxa"/>
            <w:tcBorders>
              <w:top w:val="single" w:color="auto" w:sz="4" w:space="0"/>
              <w:bottom w:val="single" w:color="auto" w:sz="4" w:space="0"/>
            </w:tcBorders>
          </w:tcPr>
          <w:p>
            <w:pPr>
              <w:jc w:val="center"/>
              <w:rPr>
                <w:vertAlign w:val="superscript"/>
              </w:rPr>
            </w:pPr>
            <w:r>
              <w:rPr>
                <w:rFonts w:hint="eastAsia"/>
              </w:rPr>
              <w:t>ECSA / cm</w:t>
            </w:r>
            <w:r>
              <w:rPr>
                <w:rFonts w:hint="eastAsia"/>
                <w:vertAlign w:val="subscript"/>
              </w:rPr>
              <w:t>Pt</w:t>
            </w:r>
            <w:r>
              <w:rPr>
                <w:rFonts w:hint="eastAsia"/>
                <w:vertAlign w:val="superscript"/>
              </w:rPr>
              <w:t>2</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3865" w:type="dxa"/>
            <w:tcBorders>
              <w:top w:val="single" w:color="auto" w:sz="4" w:space="0"/>
              <w:bottom w:val="nil"/>
            </w:tcBorders>
          </w:tcPr>
          <w:p>
            <w:pPr>
              <w:jc w:val="center"/>
            </w:pPr>
            <w:r>
              <w:rPr>
                <w:rFonts w:hint="eastAsia"/>
              </w:rPr>
              <w:t>Pt/C</w:t>
            </w:r>
          </w:p>
        </w:tc>
        <w:tc>
          <w:tcPr>
            <w:tcW w:w="4161" w:type="dxa"/>
            <w:tcBorders>
              <w:top w:val="single" w:color="auto" w:sz="4" w:space="0"/>
              <w:bottom w:val="nil"/>
            </w:tcBorders>
          </w:tcPr>
          <w:p>
            <w:pPr>
              <w:jc w:val="center"/>
            </w:pPr>
            <w:r>
              <w:rPr>
                <w:rFonts w:hint="eastAsia"/>
              </w:rPr>
              <w:t>0.8</w:t>
            </w:r>
            <w:r>
              <w:t>1</w:t>
            </w:r>
            <w:r>
              <w:rPr>
                <w:rFonts w:hint="eastAsia"/>
              </w:rPr>
              <w:t xml:space="preserve"> </w:t>
            </w:r>
            <w:r>
              <w:t>±</w:t>
            </w:r>
            <w:r>
              <w:rPr>
                <w:rFonts w:hint="eastAsia"/>
              </w:rPr>
              <w:t xml:space="preserve"> 0.02</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3865" w:type="dxa"/>
            <w:tcBorders>
              <w:top w:val="nil"/>
            </w:tcBorders>
          </w:tcPr>
          <w:p>
            <w:pPr>
              <w:jc w:val="center"/>
            </w:pPr>
            <w:r>
              <w:rPr>
                <w:rFonts w:hint="eastAsia"/>
              </w:rPr>
              <w:t>Pt/C-1</w:t>
            </w:r>
          </w:p>
        </w:tc>
        <w:tc>
          <w:tcPr>
            <w:tcW w:w="4161" w:type="dxa"/>
            <w:tcBorders>
              <w:top w:val="nil"/>
            </w:tcBorders>
          </w:tcPr>
          <w:p>
            <w:pPr>
              <w:jc w:val="center"/>
            </w:pPr>
            <w:r>
              <w:rPr>
                <w:rFonts w:hint="eastAsia"/>
              </w:rPr>
              <w:t xml:space="preserve">0.78 </w:t>
            </w:r>
            <w:r>
              <w:t>±</w:t>
            </w:r>
            <w:r>
              <w:rPr>
                <w:rFonts w:hint="eastAsia"/>
              </w:rPr>
              <w:t xml:space="preserve"> 0.04</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3865" w:type="dxa"/>
            <w:tcBorders>
              <w:top w:val="nil"/>
            </w:tcBorders>
          </w:tcPr>
          <w:p>
            <w:pPr>
              <w:jc w:val="center"/>
            </w:pPr>
            <w:r>
              <w:rPr>
                <w:rFonts w:hint="eastAsia"/>
              </w:rPr>
              <w:t>Pt/C-2</w:t>
            </w:r>
          </w:p>
        </w:tc>
        <w:tc>
          <w:tcPr>
            <w:tcW w:w="4161" w:type="dxa"/>
            <w:tcBorders>
              <w:top w:val="nil"/>
            </w:tcBorders>
          </w:tcPr>
          <w:p>
            <w:pPr>
              <w:jc w:val="center"/>
            </w:pPr>
            <w:r>
              <w:rPr>
                <w:rFonts w:hint="eastAsia"/>
              </w:rPr>
              <w:t xml:space="preserve">0.67 </w:t>
            </w:r>
            <w:r>
              <w:t>±</w:t>
            </w:r>
            <w:r>
              <w:rPr>
                <w:rFonts w:hint="eastAsia"/>
              </w:rPr>
              <w:t xml:space="preserve"> 0.02</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3865" w:type="dxa"/>
          </w:tcPr>
          <w:p>
            <w:pPr>
              <w:jc w:val="center"/>
            </w:pPr>
            <w:r>
              <w:rPr>
                <w:rFonts w:hint="eastAsia"/>
              </w:rPr>
              <w:t>Pt/C-3</w:t>
            </w:r>
          </w:p>
        </w:tc>
        <w:tc>
          <w:tcPr>
            <w:tcW w:w="4161" w:type="dxa"/>
          </w:tcPr>
          <w:p>
            <w:pPr>
              <w:jc w:val="center"/>
            </w:pPr>
            <w:r>
              <w:rPr>
                <w:rFonts w:hint="eastAsia"/>
              </w:rPr>
              <w:t xml:space="preserve">0.56 </w:t>
            </w:r>
            <w:r>
              <w:t>±</w:t>
            </w:r>
            <w:r>
              <w:rPr>
                <w:rFonts w:hint="eastAsia"/>
              </w:rPr>
              <w:t xml:space="preserve"> 0.03</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3865" w:type="dxa"/>
          </w:tcPr>
          <w:p>
            <w:pPr>
              <w:jc w:val="center"/>
            </w:pPr>
            <w:r>
              <w:rPr>
                <w:rFonts w:hint="eastAsia"/>
              </w:rPr>
              <w:t>Pt/C-4</w:t>
            </w:r>
          </w:p>
        </w:tc>
        <w:tc>
          <w:tcPr>
            <w:tcW w:w="4161" w:type="dxa"/>
          </w:tcPr>
          <w:p>
            <w:pPr>
              <w:jc w:val="center"/>
            </w:pPr>
            <w:r>
              <w:rPr>
                <w:rFonts w:hint="eastAsia"/>
              </w:rPr>
              <w:t xml:space="preserve">0.73 </w:t>
            </w:r>
            <w:r>
              <w:t>±</w:t>
            </w:r>
            <w:r>
              <w:rPr>
                <w:rFonts w:hint="eastAsia"/>
              </w:rPr>
              <w:t xml:space="preserve"> 0.01</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3865" w:type="dxa"/>
          </w:tcPr>
          <w:p>
            <w:pPr>
              <w:jc w:val="center"/>
            </w:pPr>
            <w:r>
              <w:rPr>
                <w:rFonts w:hint="eastAsia"/>
              </w:rPr>
              <w:t>Pt/C-</w:t>
            </w:r>
            <w:r>
              <w:t>5</w:t>
            </w:r>
          </w:p>
        </w:tc>
        <w:tc>
          <w:tcPr>
            <w:tcW w:w="4161" w:type="dxa"/>
          </w:tcPr>
          <w:p>
            <w:pPr>
              <w:jc w:val="center"/>
            </w:pPr>
            <w:r>
              <w:rPr>
                <w:rFonts w:hint="eastAsia"/>
              </w:rPr>
              <w:t xml:space="preserve">0.72 </w:t>
            </w:r>
            <w:r>
              <w:t>±</w:t>
            </w:r>
            <w:r>
              <w:rPr>
                <w:rFonts w:hint="eastAsia"/>
              </w:rPr>
              <w:t xml:space="preserve"> 0.04</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3865" w:type="dxa"/>
          </w:tcPr>
          <w:p>
            <w:pPr>
              <w:jc w:val="center"/>
            </w:pPr>
            <w:r>
              <w:rPr>
                <w:rFonts w:hint="eastAsia"/>
              </w:rPr>
              <w:t>Pt/C-</w:t>
            </w:r>
            <w:r>
              <w:t>6</w:t>
            </w:r>
          </w:p>
        </w:tc>
        <w:tc>
          <w:tcPr>
            <w:tcW w:w="4161" w:type="dxa"/>
          </w:tcPr>
          <w:p>
            <w:pPr>
              <w:jc w:val="center"/>
            </w:pPr>
            <w:r>
              <w:rPr>
                <w:rFonts w:hint="eastAsia"/>
              </w:rPr>
              <w:t xml:space="preserve">0.80 </w:t>
            </w:r>
            <w:r>
              <w:t>±</w:t>
            </w:r>
            <w:r>
              <w:rPr>
                <w:rFonts w:hint="eastAsia"/>
              </w:rPr>
              <w:t xml:space="preserve"> 0.03</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3865" w:type="dxa"/>
          </w:tcPr>
          <w:p>
            <w:pPr>
              <w:jc w:val="center"/>
            </w:pPr>
            <w:r>
              <w:rPr>
                <w:rFonts w:hint="eastAsia"/>
              </w:rPr>
              <w:t>Pt/C-</w:t>
            </w:r>
            <w:r>
              <w:t>7</w:t>
            </w:r>
          </w:p>
        </w:tc>
        <w:tc>
          <w:tcPr>
            <w:tcW w:w="4161" w:type="dxa"/>
          </w:tcPr>
          <w:p>
            <w:pPr>
              <w:jc w:val="center"/>
            </w:pPr>
            <w:r>
              <w:rPr>
                <w:rFonts w:hint="eastAsia"/>
              </w:rPr>
              <w:t xml:space="preserve">0.73 </w:t>
            </w:r>
            <w:r>
              <w:t>±</w:t>
            </w:r>
            <w:r>
              <w:rPr>
                <w:rFonts w:hint="eastAsia"/>
              </w:rPr>
              <w:t xml:space="preserve"> 0.04</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3865" w:type="dxa"/>
          </w:tcPr>
          <w:p>
            <w:pPr>
              <w:jc w:val="center"/>
            </w:pPr>
            <w:r>
              <w:rPr>
                <w:rFonts w:hint="eastAsia"/>
              </w:rPr>
              <w:t>Pt/C-</w:t>
            </w:r>
            <w:r>
              <w:t>8</w:t>
            </w:r>
          </w:p>
        </w:tc>
        <w:tc>
          <w:tcPr>
            <w:tcW w:w="4161" w:type="dxa"/>
          </w:tcPr>
          <w:p>
            <w:pPr>
              <w:jc w:val="center"/>
            </w:pPr>
            <w:r>
              <w:rPr>
                <w:rFonts w:hint="eastAsia"/>
              </w:rPr>
              <w:t xml:space="preserve">0.79 </w:t>
            </w:r>
            <w:r>
              <w:t>±</w:t>
            </w:r>
            <w:r>
              <w:rPr>
                <w:rFonts w:hint="eastAsia"/>
              </w:rPr>
              <w:t xml:space="preserve"> 0.02</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3865" w:type="dxa"/>
          </w:tcPr>
          <w:p>
            <w:pPr>
              <w:jc w:val="center"/>
            </w:pPr>
            <w:r>
              <w:rPr>
                <w:rFonts w:hint="eastAsia"/>
              </w:rPr>
              <w:t>Pt/C-</w:t>
            </w:r>
            <w:r>
              <w:t>9</w:t>
            </w:r>
          </w:p>
        </w:tc>
        <w:tc>
          <w:tcPr>
            <w:tcW w:w="4161" w:type="dxa"/>
          </w:tcPr>
          <w:p>
            <w:pPr>
              <w:jc w:val="center"/>
            </w:pPr>
            <w:r>
              <w:rPr>
                <w:rFonts w:hint="eastAsia"/>
              </w:rPr>
              <w:t xml:space="preserve">0.71 </w:t>
            </w:r>
            <w:r>
              <w:t>±</w:t>
            </w:r>
            <w:r>
              <w:rPr>
                <w:rFonts w:hint="eastAsia"/>
              </w:rPr>
              <w:t xml:space="preserve"> 0.02</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3865" w:type="dxa"/>
          </w:tcPr>
          <w:p>
            <w:pPr>
              <w:jc w:val="center"/>
            </w:pPr>
            <w:r>
              <w:rPr>
                <w:rFonts w:hint="eastAsia"/>
              </w:rPr>
              <w:t>Pt/C-1</w:t>
            </w:r>
            <w:r>
              <w:t>0</w:t>
            </w:r>
          </w:p>
        </w:tc>
        <w:tc>
          <w:tcPr>
            <w:tcW w:w="4161" w:type="dxa"/>
          </w:tcPr>
          <w:p>
            <w:pPr>
              <w:jc w:val="center"/>
            </w:pPr>
            <w:r>
              <w:rPr>
                <w:rFonts w:hint="eastAsia"/>
              </w:rPr>
              <w:t xml:space="preserve">0.78 </w:t>
            </w:r>
            <w:r>
              <w:t>±</w:t>
            </w:r>
            <w:r>
              <w:rPr>
                <w:rFonts w:hint="eastAsia"/>
              </w:rPr>
              <w:t xml:space="preserve"> 0.04</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3865" w:type="dxa"/>
          </w:tcPr>
          <w:p>
            <w:pPr>
              <w:jc w:val="center"/>
            </w:pPr>
            <w:r>
              <w:rPr>
                <w:rFonts w:hint="eastAsia"/>
              </w:rPr>
              <w:t>Pt/C-1</w:t>
            </w:r>
            <w:r>
              <w:t>1</w:t>
            </w:r>
          </w:p>
        </w:tc>
        <w:tc>
          <w:tcPr>
            <w:tcW w:w="4161" w:type="dxa"/>
          </w:tcPr>
          <w:p>
            <w:pPr>
              <w:jc w:val="center"/>
            </w:pPr>
            <w:r>
              <w:rPr>
                <w:rFonts w:hint="eastAsia"/>
              </w:rPr>
              <w:t xml:space="preserve">0.55 </w:t>
            </w:r>
            <w:r>
              <w:t>±</w:t>
            </w:r>
            <w:r>
              <w:rPr>
                <w:rFonts w:hint="eastAsia"/>
              </w:rPr>
              <w:t xml:space="preserve"> 0.02</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3865" w:type="dxa"/>
          </w:tcPr>
          <w:p>
            <w:pPr>
              <w:jc w:val="center"/>
            </w:pPr>
            <w:r>
              <w:rPr>
                <w:rFonts w:hint="eastAsia"/>
              </w:rPr>
              <w:t>Pt/C-1</w:t>
            </w:r>
            <w:r>
              <w:t>2</w:t>
            </w:r>
          </w:p>
        </w:tc>
        <w:tc>
          <w:tcPr>
            <w:tcW w:w="4161" w:type="dxa"/>
          </w:tcPr>
          <w:p>
            <w:pPr>
              <w:jc w:val="center"/>
            </w:pPr>
            <w:r>
              <w:rPr>
                <w:rFonts w:hint="eastAsia"/>
              </w:rPr>
              <w:t xml:space="preserve">0.68 </w:t>
            </w:r>
            <w:r>
              <w:t>±</w:t>
            </w:r>
            <w:r>
              <w:rPr>
                <w:rFonts w:hint="eastAsia"/>
              </w:rPr>
              <w:t xml:space="preserve"> 0.03</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3865" w:type="dxa"/>
          </w:tcPr>
          <w:p>
            <w:pPr>
              <w:jc w:val="center"/>
            </w:pPr>
            <w:r>
              <w:rPr>
                <w:rFonts w:hint="eastAsia"/>
              </w:rPr>
              <w:t>Pt/C-1</w:t>
            </w:r>
            <w:r>
              <w:t>3</w:t>
            </w:r>
          </w:p>
        </w:tc>
        <w:tc>
          <w:tcPr>
            <w:tcW w:w="4161" w:type="dxa"/>
          </w:tcPr>
          <w:p>
            <w:pPr>
              <w:jc w:val="center"/>
            </w:pPr>
            <w:r>
              <w:rPr>
                <w:rFonts w:hint="eastAsia"/>
              </w:rPr>
              <w:t xml:space="preserve">0.79 </w:t>
            </w:r>
            <w:r>
              <w:t>±</w:t>
            </w:r>
            <w:r>
              <w:rPr>
                <w:rFonts w:hint="eastAsia"/>
              </w:rPr>
              <w:t xml:space="preserve"> 0.03</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3865" w:type="dxa"/>
          </w:tcPr>
          <w:p>
            <w:pPr>
              <w:jc w:val="center"/>
            </w:pPr>
            <w:r>
              <w:rPr>
                <w:rFonts w:hint="eastAsia"/>
              </w:rPr>
              <w:t>Pt/C-1</w:t>
            </w:r>
            <w:r>
              <w:t>4</w:t>
            </w:r>
          </w:p>
        </w:tc>
        <w:tc>
          <w:tcPr>
            <w:tcW w:w="4161" w:type="dxa"/>
          </w:tcPr>
          <w:p>
            <w:pPr>
              <w:jc w:val="center"/>
            </w:pPr>
            <w:r>
              <w:rPr>
                <w:rFonts w:hint="eastAsia"/>
              </w:rPr>
              <w:t xml:space="preserve">0.61 </w:t>
            </w:r>
            <w:r>
              <w:t>±</w:t>
            </w:r>
            <w:r>
              <w:rPr>
                <w:rFonts w:hint="eastAsia"/>
              </w:rPr>
              <w:t xml:space="preserve"> 0.02</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3865" w:type="dxa"/>
          </w:tcPr>
          <w:p>
            <w:pPr>
              <w:jc w:val="center"/>
            </w:pPr>
            <w:r>
              <w:rPr>
                <w:rFonts w:hint="eastAsia"/>
              </w:rPr>
              <w:t>Pt/C-1</w:t>
            </w:r>
            <w:r>
              <w:t>5</w:t>
            </w:r>
          </w:p>
        </w:tc>
        <w:tc>
          <w:tcPr>
            <w:tcW w:w="4161" w:type="dxa"/>
          </w:tcPr>
          <w:p>
            <w:pPr>
              <w:jc w:val="center"/>
            </w:pPr>
            <w:r>
              <w:rPr>
                <w:rFonts w:hint="eastAsia"/>
              </w:rPr>
              <w:t xml:space="preserve">0.57 </w:t>
            </w:r>
            <w:r>
              <w:t>±</w:t>
            </w:r>
            <w:r>
              <w:rPr>
                <w:rFonts w:hint="eastAsia"/>
              </w:rPr>
              <w:t xml:space="preserve"> 0.02</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3865" w:type="dxa"/>
          </w:tcPr>
          <w:p>
            <w:pPr>
              <w:jc w:val="center"/>
            </w:pPr>
            <w:r>
              <w:rPr>
                <w:rFonts w:hint="eastAsia"/>
              </w:rPr>
              <w:t>Pt/C-1</w:t>
            </w:r>
            <w:r>
              <w:t>6</w:t>
            </w:r>
          </w:p>
        </w:tc>
        <w:tc>
          <w:tcPr>
            <w:tcW w:w="4161" w:type="dxa"/>
          </w:tcPr>
          <w:p>
            <w:pPr>
              <w:jc w:val="center"/>
            </w:pPr>
            <w:r>
              <w:rPr>
                <w:rFonts w:hint="eastAsia"/>
              </w:rPr>
              <w:t xml:space="preserve">0.55 </w:t>
            </w:r>
            <w:r>
              <w:t>±</w:t>
            </w:r>
            <w:r>
              <w:rPr>
                <w:rFonts w:hint="eastAsia"/>
              </w:rPr>
              <w:t xml:space="preserve"> 0.01</w:t>
            </w:r>
          </w:p>
        </w:tc>
      </w:tr>
    </w:tbl>
    <w:p/>
    <w:p>
      <w:pPr>
        <w:rPr>
          <w:rFonts w:hint="eastAsia" w:cs="Times New Roman"/>
          <w:b/>
        </w:rPr>
      </w:pPr>
      <w:r>
        <w:rPr>
          <w:rFonts w:hint="eastAsia" w:cs="Times New Roman"/>
          <w:b/>
        </w:rPr>
        <w:br w:type="page"/>
      </w:r>
    </w:p>
    <w:p>
      <w:r>
        <w:rPr>
          <w:rFonts w:hint="eastAsia" w:cs="Times New Roman"/>
          <w:b/>
        </w:rPr>
        <w:t>Table S3</w:t>
      </w:r>
      <w:r>
        <w:rPr>
          <w:rFonts w:hint="eastAsia" w:cs="Times New Roman"/>
        </w:rPr>
        <w:t xml:space="preserve"> The</w:t>
      </w:r>
      <w:r>
        <w:rPr>
          <w:rFonts w:hint="eastAsia"/>
        </w:rPr>
        <w:t xml:space="preserve"> exchange current density (</w:t>
      </w:r>
      <w:r>
        <w:rPr>
          <w:rFonts w:hint="eastAsia"/>
          <w:i/>
        </w:rPr>
        <w:t>i</w:t>
      </w:r>
      <w:r>
        <w:rPr>
          <w:rFonts w:hint="eastAsia"/>
          <w:vertAlign w:val="subscript"/>
        </w:rPr>
        <w:t>0</w:t>
      </w:r>
      <w:r>
        <w:rPr>
          <w:rFonts w:hint="eastAsia"/>
        </w:rPr>
        <w:t xml:space="preserve">) of Pt/C and Pt/C-x. The standard deviation of </w:t>
      </w:r>
      <w:r>
        <w:rPr>
          <w:rFonts w:hint="eastAsia"/>
          <w:i/>
        </w:rPr>
        <w:t>i</w:t>
      </w:r>
      <w:r>
        <w:rPr>
          <w:rFonts w:hint="eastAsia"/>
          <w:vertAlign w:val="subscript"/>
        </w:rPr>
        <w:t>0</w:t>
      </w:r>
      <w:r>
        <w:rPr>
          <w:rFonts w:hint="eastAsia"/>
        </w:rPr>
        <w:t xml:space="preserve"> was obtained from three independent measurements.</w:t>
      </w:r>
    </w:p>
    <w:tbl>
      <w:tblPr>
        <w:tblStyle w:val="7"/>
        <w:tblW w:w="0" w:type="auto"/>
        <w:jc w:val="center"/>
        <w:tblBorders>
          <w:top w:val="single" w:color="auto" w:sz="4" w:space="0"/>
          <w:left w:val="none" w:color="auto" w:sz="0" w:space="0"/>
          <w:bottom w:val="single" w:color="auto" w:sz="4"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3886"/>
        <w:gridCol w:w="4261"/>
      </w:tblGrid>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3886" w:type="dxa"/>
            <w:tcBorders>
              <w:top w:val="single" w:color="auto" w:sz="4" w:space="0"/>
              <w:bottom w:val="single" w:color="auto" w:sz="4" w:space="0"/>
            </w:tcBorders>
          </w:tcPr>
          <w:p>
            <w:pPr>
              <w:jc w:val="center"/>
            </w:pPr>
            <w:r>
              <w:t>S</w:t>
            </w:r>
            <w:r>
              <w:rPr>
                <w:rFonts w:hint="eastAsia"/>
              </w:rPr>
              <w:t>ample</w:t>
            </w:r>
          </w:p>
        </w:tc>
        <w:tc>
          <w:tcPr>
            <w:tcW w:w="4261" w:type="dxa"/>
            <w:tcBorders>
              <w:top w:val="single" w:color="auto" w:sz="4" w:space="0"/>
              <w:bottom w:val="single" w:color="auto" w:sz="4" w:space="0"/>
            </w:tcBorders>
          </w:tcPr>
          <w:p>
            <w:pPr>
              <w:jc w:val="center"/>
            </w:pPr>
            <w:r>
              <w:rPr>
                <w:rFonts w:hint="eastAsia"/>
                <w:i/>
              </w:rPr>
              <w:t>i</w:t>
            </w:r>
            <w:r>
              <w:rPr>
                <w:rFonts w:hint="eastAsia"/>
                <w:vertAlign w:val="subscript"/>
              </w:rPr>
              <w:t>0</w:t>
            </w:r>
            <w:r>
              <w:rPr>
                <w:rFonts w:hint="eastAsia"/>
              </w:rPr>
              <w:t xml:space="preserve"> / mA cm</w:t>
            </w:r>
            <w:r>
              <w:rPr>
                <w:rFonts w:hint="eastAsia"/>
                <w:vertAlign w:val="subscript"/>
              </w:rPr>
              <w:t>Pt</w:t>
            </w:r>
            <w:r>
              <w:rPr>
                <w:rFonts w:hint="eastAsia"/>
                <w:vertAlign w:val="superscript"/>
              </w:rPr>
              <w:t>-2</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3886" w:type="dxa"/>
            <w:tcBorders>
              <w:top w:val="single" w:color="auto" w:sz="4" w:space="0"/>
              <w:bottom w:val="nil"/>
            </w:tcBorders>
          </w:tcPr>
          <w:p>
            <w:pPr>
              <w:jc w:val="center"/>
            </w:pPr>
            <w:r>
              <w:rPr>
                <w:rFonts w:hint="eastAsia"/>
              </w:rPr>
              <w:t>Pt/C</w:t>
            </w:r>
          </w:p>
        </w:tc>
        <w:tc>
          <w:tcPr>
            <w:tcW w:w="4261" w:type="dxa"/>
            <w:tcBorders>
              <w:top w:val="single" w:color="auto" w:sz="4" w:space="0"/>
              <w:bottom w:val="nil"/>
            </w:tcBorders>
          </w:tcPr>
          <w:p>
            <w:pPr>
              <w:jc w:val="center"/>
            </w:pPr>
            <w:r>
              <w:rPr>
                <w:rFonts w:hint="eastAsia"/>
              </w:rPr>
              <w:t xml:space="preserve">0.40 </w:t>
            </w:r>
            <w:r>
              <w:rPr>
                <w:rFonts w:cs="Times New Roman"/>
              </w:rPr>
              <w:t>±</w:t>
            </w:r>
            <w:r>
              <w:rPr>
                <w:rFonts w:hint="eastAsia" w:cs="Times New Roman"/>
              </w:rPr>
              <w:t xml:space="preserve"> 0.02</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3886" w:type="dxa"/>
            <w:tcBorders>
              <w:top w:val="nil"/>
              <w:bottom w:val="nil"/>
            </w:tcBorders>
          </w:tcPr>
          <w:p>
            <w:pPr>
              <w:jc w:val="center"/>
            </w:pPr>
            <w:r>
              <w:rPr>
                <w:rFonts w:hint="eastAsia"/>
              </w:rPr>
              <w:t>Pt/C-1</w:t>
            </w:r>
          </w:p>
        </w:tc>
        <w:tc>
          <w:tcPr>
            <w:tcW w:w="4261" w:type="dxa"/>
            <w:tcBorders>
              <w:top w:val="nil"/>
              <w:bottom w:val="nil"/>
            </w:tcBorders>
          </w:tcPr>
          <w:p>
            <w:pPr>
              <w:jc w:val="center"/>
            </w:pPr>
            <w:r>
              <w:rPr>
                <w:rFonts w:hint="eastAsia"/>
              </w:rPr>
              <w:t xml:space="preserve">0.38 </w:t>
            </w:r>
            <w:r>
              <w:rPr>
                <w:rFonts w:cs="Times New Roman"/>
              </w:rPr>
              <w:t>±</w:t>
            </w:r>
            <w:r>
              <w:rPr>
                <w:rFonts w:hint="eastAsia" w:cs="Times New Roman"/>
              </w:rPr>
              <w:t xml:space="preserve"> 0.02</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3886" w:type="dxa"/>
            <w:tcBorders>
              <w:top w:val="nil"/>
            </w:tcBorders>
          </w:tcPr>
          <w:p>
            <w:pPr>
              <w:jc w:val="center"/>
            </w:pPr>
            <w:r>
              <w:rPr>
                <w:rFonts w:hint="eastAsia"/>
              </w:rPr>
              <w:t>Pt/C-2</w:t>
            </w:r>
          </w:p>
        </w:tc>
        <w:tc>
          <w:tcPr>
            <w:tcW w:w="4261" w:type="dxa"/>
            <w:tcBorders>
              <w:top w:val="nil"/>
            </w:tcBorders>
          </w:tcPr>
          <w:p>
            <w:pPr>
              <w:jc w:val="center"/>
            </w:pPr>
            <w:r>
              <w:rPr>
                <w:rFonts w:hint="eastAsia"/>
              </w:rPr>
              <w:t xml:space="preserve">0.65 </w:t>
            </w:r>
            <w:r>
              <w:rPr>
                <w:rFonts w:cs="Times New Roman"/>
              </w:rPr>
              <w:t>±</w:t>
            </w:r>
            <w:r>
              <w:rPr>
                <w:rFonts w:hint="eastAsia" w:cs="Times New Roman"/>
              </w:rPr>
              <w:t xml:space="preserve"> 0.01</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3886" w:type="dxa"/>
          </w:tcPr>
          <w:p>
            <w:pPr>
              <w:jc w:val="center"/>
            </w:pPr>
            <w:r>
              <w:rPr>
                <w:rFonts w:hint="eastAsia"/>
              </w:rPr>
              <w:t>Pt/C-3</w:t>
            </w:r>
          </w:p>
        </w:tc>
        <w:tc>
          <w:tcPr>
            <w:tcW w:w="4261" w:type="dxa"/>
          </w:tcPr>
          <w:p>
            <w:pPr>
              <w:jc w:val="center"/>
            </w:pPr>
            <w:r>
              <w:rPr>
                <w:rFonts w:hint="eastAsia"/>
              </w:rPr>
              <w:t xml:space="preserve">0.63 </w:t>
            </w:r>
            <w:r>
              <w:rPr>
                <w:rFonts w:cs="Times New Roman"/>
              </w:rPr>
              <w:t>±</w:t>
            </w:r>
            <w:r>
              <w:rPr>
                <w:rFonts w:hint="eastAsia" w:cs="Times New Roman"/>
              </w:rPr>
              <w:t xml:space="preserve"> 0.02</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3886" w:type="dxa"/>
          </w:tcPr>
          <w:p>
            <w:pPr>
              <w:jc w:val="center"/>
            </w:pPr>
            <w:r>
              <w:rPr>
                <w:rFonts w:hint="eastAsia"/>
              </w:rPr>
              <w:t>Pt/C-4</w:t>
            </w:r>
          </w:p>
        </w:tc>
        <w:tc>
          <w:tcPr>
            <w:tcW w:w="4261" w:type="dxa"/>
          </w:tcPr>
          <w:p>
            <w:pPr>
              <w:jc w:val="center"/>
            </w:pPr>
            <w:r>
              <w:rPr>
                <w:rFonts w:hint="eastAsia"/>
              </w:rPr>
              <w:t xml:space="preserve">0.56 </w:t>
            </w:r>
            <w:r>
              <w:rPr>
                <w:rFonts w:cs="Times New Roman"/>
              </w:rPr>
              <w:t>±</w:t>
            </w:r>
            <w:r>
              <w:rPr>
                <w:rFonts w:hint="eastAsia" w:cs="Times New Roman"/>
              </w:rPr>
              <w:t xml:space="preserve"> 0.03</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3886" w:type="dxa"/>
          </w:tcPr>
          <w:p>
            <w:pPr>
              <w:jc w:val="center"/>
            </w:pPr>
            <w:r>
              <w:rPr>
                <w:rFonts w:hint="eastAsia"/>
              </w:rPr>
              <w:t>Pt/C-</w:t>
            </w:r>
            <w:r>
              <w:t>5</w:t>
            </w:r>
          </w:p>
        </w:tc>
        <w:tc>
          <w:tcPr>
            <w:tcW w:w="4261" w:type="dxa"/>
          </w:tcPr>
          <w:p>
            <w:pPr>
              <w:jc w:val="center"/>
            </w:pPr>
            <w:r>
              <w:rPr>
                <w:rFonts w:hint="eastAsia"/>
              </w:rPr>
              <w:t xml:space="preserve">0.60 </w:t>
            </w:r>
            <w:r>
              <w:rPr>
                <w:rFonts w:cs="Times New Roman"/>
              </w:rPr>
              <w:t>±</w:t>
            </w:r>
            <w:r>
              <w:rPr>
                <w:rFonts w:hint="eastAsia" w:cs="Times New Roman"/>
              </w:rPr>
              <w:t xml:space="preserve"> 0.03</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3886" w:type="dxa"/>
          </w:tcPr>
          <w:p>
            <w:pPr>
              <w:jc w:val="center"/>
            </w:pPr>
            <w:r>
              <w:rPr>
                <w:rFonts w:hint="eastAsia"/>
              </w:rPr>
              <w:t>Pt/C-</w:t>
            </w:r>
            <w:r>
              <w:t>6</w:t>
            </w:r>
          </w:p>
        </w:tc>
        <w:tc>
          <w:tcPr>
            <w:tcW w:w="4261" w:type="dxa"/>
          </w:tcPr>
          <w:p>
            <w:pPr>
              <w:jc w:val="center"/>
            </w:pPr>
            <w:r>
              <w:rPr>
                <w:rFonts w:hint="eastAsia"/>
              </w:rPr>
              <w:t xml:space="preserve">0.50 </w:t>
            </w:r>
            <w:r>
              <w:rPr>
                <w:rFonts w:cs="Times New Roman"/>
              </w:rPr>
              <w:t>±</w:t>
            </w:r>
            <w:r>
              <w:rPr>
                <w:rFonts w:hint="eastAsia" w:cs="Times New Roman"/>
              </w:rPr>
              <w:t xml:space="preserve"> 0.04</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3886" w:type="dxa"/>
          </w:tcPr>
          <w:p>
            <w:pPr>
              <w:jc w:val="center"/>
            </w:pPr>
            <w:r>
              <w:rPr>
                <w:rFonts w:hint="eastAsia"/>
              </w:rPr>
              <w:t>Pt/C-</w:t>
            </w:r>
            <w:r>
              <w:t>7</w:t>
            </w:r>
          </w:p>
        </w:tc>
        <w:tc>
          <w:tcPr>
            <w:tcW w:w="4261" w:type="dxa"/>
          </w:tcPr>
          <w:p>
            <w:pPr>
              <w:jc w:val="center"/>
            </w:pPr>
            <w:r>
              <w:rPr>
                <w:rFonts w:hint="eastAsia"/>
              </w:rPr>
              <w:t xml:space="preserve">0.57 </w:t>
            </w:r>
            <w:r>
              <w:rPr>
                <w:rFonts w:cs="Times New Roman"/>
              </w:rPr>
              <w:t>±</w:t>
            </w:r>
            <w:r>
              <w:rPr>
                <w:rFonts w:hint="eastAsia" w:cs="Times New Roman"/>
              </w:rPr>
              <w:t xml:space="preserve"> 0.02</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3886" w:type="dxa"/>
          </w:tcPr>
          <w:p>
            <w:pPr>
              <w:jc w:val="center"/>
            </w:pPr>
            <w:r>
              <w:rPr>
                <w:rFonts w:hint="eastAsia"/>
              </w:rPr>
              <w:t>Pt/C-</w:t>
            </w:r>
            <w:r>
              <w:t>8</w:t>
            </w:r>
          </w:p>
        </w:tc>
        <w:tc>
          <w:tcPr>
            <w:tcW w:w="4261" w:type="dxa"/>
          </w:tcPr>
          <w:p>
            <w:pPr>
              <w:jc w:val="center"/>
            </w:pPr>
            <w:r>
              <w:rPr>
                <w:rFonts w:hint="eastAsia"/>
              </w:rPr>
              <w:t xml:space="preserve">0.40 </w:t>
            </w:r>
            <w:r>
              <w:rPr>
                <w:rFonts w:cs="Times New Roman"/>
              </w:rPr>
              <w:t>±</w:t>
            </w:r>
            <w:r>
              <w:rPr>
                <w:rFonts w:hint="eastAsia" w:cs="Times New Roman"/>
              </w:rPr>
              <w:t xml:space="preserve"> 0.01</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3886" w:type="dxa"/>
          </w:tcPr>
          <w:p>
            <w:pPr>
              <w:jc w:val="center"/>
            </w:pPr>
            <w:r>
              <w:rPr>
                <w:rFonts w:hint="eastAsia"/>
              </w:rPr>
              <w:t>Pt/C-</w:t>
            </w:r>
            <w:r>
              <w:t>9</w:t>
            </w:r>
          </w:p>
        </w:tc>
        <w:tc>
          <w:tcPr>
            <w:tcW w:w="4261" w:type="dxa"/>
          </w:tcPr>
          <w:p>
            <w:pPr>
              <w:jc w:val="center"/>
            </w:pPr>
            <w:r>
              <w:rPr>
                <w:rFonts w:hint="eastAsia"/>
              </w:rPr>
              <w:t xml:space="preserve">0.63 </w:t>
            </w:r>
            <w:r>
              <w:rPr>
                <w:rFonts w:cs="Times New Roman"/>
              </w:rPr>
              <w:t>±</w:t>
            </w:r>
            <w:r>
              <w:rPr>
                <w:rFonts w:hint="eastAsia" w:cs="Times New Roman"/>
              </w:rPr>
              <w:t xml:space="preserve"> 0.03</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3886" w:type="dxa"/>
          </w:tcPr>
          <w:p>
            <w:pPr>
              <w:jc w:val="center"/>
            </w:pPr>
            <w:r>
              <w:rPr>
                <w:rFonts w:hint="eastAsia"/>
              </w:rPr>
              <w:t>Pt/C-1</w:t>
            </w:r>
            <w:r>
              <w:t>0</w:t>
            </w:r>
          </w:p>
        </w:tc>
        <w:tc>
          <w:tcPr>
            <w:tcW w:w="4261" w:type="dxa"/>
          </w:tcPr>
          <w:p>
            <w:pPr>
              <w:jc w:val="center"/>
            </w:pPr>
            <w:r>
              <w:rPr>
                <w:rFonts w:hint="eastAsia"/>
              </w:rPr>
              <w:t xml:space="preserve">0.48 </w:t>
            </w:r>
            <w:r>
              <w:rPr>
                <w:rFonts w:cs="Times New Roman"/>
              </w:rPr>
              <w:t>±</w:t>
            </w:r>
            <w:r>
              <w:rPr>
                <w:rFonts w:hint="eastAsia" w:cs="Times New Roman"/>
              </w:rPr>
              <w:t xml:space="preserve"> 0.04</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3886" w:type="dxa"/>
          </w:tcPr>
          <w:p>
            <w:pPr>
              <w:jc w:val="center"/>
            </w:pPr>
            <w:r>
              <w:rPr>
                <w:rFonts w:hint="eastAsia"/>
              </w:rPr>
              <w:t>Pt/C-1</w:t>
            </w:r>
            <w:r>
              <w:t>1</w:t>
            </w:r>
          </w:p>
        </w:tc>
        <w:tc>
          <w:tcPr>
            <w:tcW w:w="4261" w:type="dxa"/>
          </w:tcPr>
          <w:p>
            <w:pPr>
              <w:jc w:val="center"/>
            </w:pPr>
            <w:r>
              <w:rPr>
                <w:rFonts w:hint="eastAsia"/>
              </w:rPr>
              <w:t xml:space="preserve">0.53 </w:t>
            </w:r>
            <w:r>
              <w:rPr>
                <w:rFonts w:cs="Times New Roman"/>
              </w:rPr>
              <w:t>±</w:t>
            </w:r>
            <w:r>
              <w:rPr>
                <w:rFonts w:hint="eastAsia" w:cs="Times New Roman"/>
              </w:rPr>
              <w:t xml:space="preserve"> 0.03</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3886" w:type="dxa"/>
          </w:tcPr>
          <w:p>
            <w:pPr>
              <w:jc w:val="center"/>
            </w:pPr>
            <w:r>
              <w:rPr>
                <w:rFonts w:hint="eastAsia"/>
              </w:rPr>
              <w:t>Pt/C-1</w:t>
            </w:r>
            <w:r>
              <w:t>2</w:t>
            </w:r>
          </w:p>
        </w:tc>
        <w:tc>
          <w:tcPr>
            <w:tcW w:w="4261" w:type="dxa"/>
          </w:tcPr>
          <w:p>
            <w:pPr>
              <w:jc w:val="center"/>
            </w:pPr>
            <w:r>
              <w:rPr>
                <w:rFonts w:hint="eastAsia"/>
              </w:rPr>
              <w:t xml:space="preserve">0.67 </w:t>
            </w:r>
            <w:r>
              <w:rPr>
                <w:rFonts w:cs="Times New Roman"/>
              </w:rPr>
              <w:t>±</w:t>
            </w:r>
            <w:r>
              <w:rPr>
                <w:rFonts w:hint="eastAsia" w:cs="Times New Roman"/>
              </w:rPr>
              <w:t xml:space="preserve"> 0.02</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3886" w:type="dxa"/>
          </w:tcPr>
          <w:p>
            <w:pPr>
              <w:jc w:val="center"/>
            </w:pPr>
            <w:r>
              <w:rPr>
                <w:rFonts w:hint="eastAsia"/>
              </w:rPr>
              <w:t>Pt/C-1</w:t>
            </w:r>
            <w:r>
              <w:t>3</w:t>
            </w:r>
          </w:p>
        </w:tc>
        <w:tc>
          <w:tcPr>
            <w:tcW w:w="4261" w:type="dxa"/>
          </w:tcPr>
          <w:p>
            <w:pPr>
              <w:jc w:val="center"/>
            </w:pPr>
            <w:r>
              <w:rPr>
                <w:rFonts w:hint="eastAsia"/>
              </w:rPr>
              <w:t xml:space="preserve">0.81 </w:t>
            </w:r>
            <w:r>
              <w:rPr>
                <w:rFonts w:cs="Times New Roman"/>
              </w:rPr>
              <w:t>±</w:t>
            </w:r>
            <w:r>
              <w:rPr>
                <w:rFonts w:hint="eastAsia" w:cs="Times New Roman"/>
              </w:rPr>
              <w:t xml:space="preserve"> 0.02</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3886" w:type="dxa"/>
          </w:tcPr>
          <w:p>
            <w:pPr>
              <w:jc w:val="center"/>
            </w:pPr>
            <w:r>
              <w:rPr>
                <w:rFonts w:hint="eastAsia"/>
              </w:rPr>
              <w:t>Pt/C-1</w:t>
            </w:r>
            <w:r>
              <w:t>4</w:t>
            </w:r>
          </w:p>
        </w:tc>
        <w:tc>
          <w:tcPr>
            <w:tcW w:w="4261" w:type="dxa"/>
          </w:tcPr>
          <w:p>
            <w:pPr>
              <w:jc w:val="center"/>
            </w:pPr>
            <w:r>
              <w:rPr>
                <w:rFonts w:hint="eastAsia"/>
              </w:rPr>
              <w:t xml:space="preserve">0.59 </w:t>
            </w:r>
            <w:r>
              <w:rPr>
                <w:rFonts w:cs="Times New Roman"/>
              </w:rPr>
              <w:t>±</w:t>
            </w:r>
            <w:r>
              <w:rPr>
                <w:rFonts w:hint="eastAsia" w:cs="Times New Roman"/>
              </w:rPr>
              <w:t xml:space="preserve"> 0.03</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3886" w:type="dxa"/>
          </w:tcPr>
          <w:p>
            <w:pPr>
              <w:jc w:val="center"/>
            </w:pPr>
            <w:r>
              <w:rPr>
                <w:rFonts w:hint="eastAsia"/>
              </w:rPr>
              <w:t>Pt/C-1</w:t>
            </w:r>
            <w:r>
              <w:t>5</w:t>
            </w:r>
          </w:p>
        </w:tc>
        <w:tc>
          <w:tcPr>
            <w:tcW w:w="4261" w:type="dxa"/>
          </w:tcPr>
          <w:p>
            <w:pPr>
              <w:jc w:val="center"/>
            </w:pPr>
            <w:r>
              <w:rPr>
                <w:rFonts w:hint="eastAsia"/>
              </w:rPr>
              <w:t xml:space="preserve">0.54 </w:t>
            </w:r>
            <w:r>
              <w:rPr>
                <w:rFonts w:cs="Times New Roman"/>
              </w:rPr>
              <w:t>±</w:t>
            </w:r>
            <w:r>
              <w:rPr>
                <w:rFonts w:hint="eastAsia" w:cs="Times New Roman"/>
              </w:rPr>
              <w:t xml:space="preserve"> 0.03</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3886" w:type="dxa"/>
          </w:tcPr>
          <w:p>
            <w:pPr>
              <w:jc w:val="center"/>
            </w:pPr>
            <w:r>
              <w:rPr>
                <w:rFonts w:hint="eastAsia"/>
              </w:rPr>
              <w:t>Pt/C-1</w:t>
            </w:r>
            <w:r>
              <w:t>6</w:t>
            </w:r>
          </w:p>
        </w:tc>
        <w:tc>
          <w:tcPr>
            <w:tcW w:w="4261" w:type="dxa"/>
          </w:tcPr>
          <w:p>
            <w:pPr>
              <w:jc w:val="center"/>
            </w:pPr>
            <w:r>
              <w:rPr>
                <w:rFonts w:hint="eastAsia"/>
              </w:rPr>
              <w:t xml:space="preserve">0.36 </w:t>
            </w:r>
            <w:r>
              <w:rPr>
                <w:rFonts w:cs="Times New Roman"/>
              </w:rPr>
              <w:t>±</w:t>
            </w:r>
            <w:r>
              <w:rPr>
                <w:rFonts w:hint="eastAsia" w:cs="Times New Roman"/>
              </w:rPr>
              <w:t xml:space="preserve"> 0.01</w:t>
            </w:r>
          </w:p>
        </w:tc>
      </w:tr>
    </w:tbl>
    <w:p/>
    <w:p>
      <w:r>
        <w:br w:type="page"/>
      </w:r>
    </w:p>
    <w:p>
      <w:pPr>
        <w:jc w:val="center"/>
      </w:pPr>
      <w:r>
        <w:rPr>
          <w:rFonts w:hint="eastAsia"/>
        </w:rPr>
        <w:drawing>
          <wp:inline distT="0" distB="0" distL="0" distR="0">
            <wp:extent cx="3117850" cy="2546350"/>
            <wp:effectExtent l="0" t="0" r="6350" b="6350"/>
            <wp:docPr id="48880508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8805082" name="图片 1"/>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a:xfrm>
                      <a:off x="0" y="0"/>
                      <a:ext cx="3117850" cy="2546350"/>
                    </a:xfrm>
                    <a:prstGeom prst="rect">
                      <a:avLst/>
                    </a:prstGeom>
                    <a:noFill/>
                    <a:ln>
                      <a:noFill/>
                    </a:ln>
                  </pic:spPr>
                </pic:pic>
              </a:graphicData>
            </a:graphic>
          </wp:inline>
        </w:drawing>
      </w:r>
    </w:p>
    <w:p>
      <w:r>
        <w:rPr>
          <w:rFonts w:hint="eastAsia" w:cs="Times New Roman"/>
          <w:b/>
        </w:rPr>
        <w:t>Figure S</w:t>
      </w:r>
      <w:r>
        <w:rPr>
          <w:rFonts w:cs="Times New Roman"/>
          <w:b/>
        </w:rPr>
        <w:t xml:space="preserve">15. </w:t>
      </w:r>
      <w:r>
        <w:t>The volcano-type relationship between i</w:t>
      </w:r>
      <w:r>
        <w:rPr>
          <w:vertAlign w:val="subscript"/>
        </w:rPr>
        <w:t>0, HOR</w:t>
      </w:r>
      <w:r>
        <w:t xml:space="preserve"> and CA of Pt/C and Pt/C-x. The corresponding error bars for i</w:t>
      </w:r>
      <w:r>
        <w:rPr>
          <w:vertAlign w:val="subscript"/>
        </w:rPr>
        <w:t>0, HOR</w:t>
      </w:r>
      <w:r>
        <w:t xml:space="preserve"> were calculated from three independent experiments.</w:t>
      </w:r>
    </w:p>
    <w:p>
      <w:r>
        <w:br w:type="page"/>
      </w:r>
    </w:p>
    <w:p>
      <w:r>
        <w:drawing>
          <wp:inline distT="0" distB="0" distL="0" distR="0">
            <wp:extent cx="5274310" cy="7519035"/>
            <wp:effectExtent l="0" t="0" r="2540" b="5715"/>
            <wp:docPr id="9262923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629234" name="图片 1"/>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a:xfrm>
                      <a:off x="0" y="0"/>
                      <a:ext cx="5274310" cy="7519035"/>
                    </a:xfrm>
                    <a:prstGeom prst="rect">
                      <a:avLst/>
                    </a:prstGeom>
                    <a:noFill/>
                    <a:ln>
                      <a:noFill/>
                    </a:ln>
                  </pic:spPr>
                </pic:pic>
              </a:graphicData>
            </a:graphic>
          </wp:inline>
        </w:drawing>
      </w:r>
    </w:p>
    <w:p>
      <w:r>
        <w:rPr>
          <w:rFonts w:hint="eastAsia"/>
          <w:b/>
        </w:rPr>
        <w:t>Figure S</w:t>
      </w:r>
      <w:r>
        <w:rPr>
          <w:b/>
        </w:rPr>
        <w:t>1</w:t>
      </w:r>
      <w:r>
        <w:rPr>
          <w:rFonts w:hint="eastAsia"/>
          <w:b/>
        </w:rPr>
        <w:t>6</w:t>
      </w:r>
      <w:r>
        <w:rPr>
          <w:b/>
        </w:rPr>
        <w:t>.</w:t>
      </w:r>
      <w:r>
        <w:rPr>
          <w:rFonts w:hint="eastAsia"/>
        </w:rPr>
        <w:t xml:space="preserve"> Raman spectra of characteristic groups of modified molecules for all Pt/C-x before and after RDE tests.</w:t>
      </w:r>
    </w:p>
    <w:p>
      <w:pPr>
        <w:rPr>
          <w:rFonts w:hint="eastAsia"/>
          <w:b/>
        </w:rPr>
      </w:pPr>
      <w:r>
        <w:rPr>
          <w:rFonts w:hint="eastAsia"/>
          <w:b/>
        </w:rPr>
        <w:br w:type="page"/>
      </w:r>
    </w:p>
    <w:p>
      <w:r>
        <w:rPr>
          <w:rFonts w:hint="eastAsia"/>
          <w:b/>
        </w:rPr>
        <w:t>Table S4</w:t>
      </w:r>
      <w:r>
        <w:rPr>
          <w:rFonts w:hint="eastAsia"/>
        </w:rPr>
        <w:t xml:space="preserve"> The assignment of Raman peaks to characteristic groups of modified molecules.</w:t>
      </w:r>
    </w:p>
    <w:tbl>
      <w:tblPr>
        <w:tblStyle w:val="7"/>
        <w:tblW w:w="0" w:type="auto"/>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2545"/>
        <w:gridCol w:w="2000"/>
        <w:gridCol w:w="349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2545" w:type="dxa"/>
            <w:tcBorders>
              <w:top w:val="single" w:color="auto" w:sz="4" w:space="0"/>
              <w:bottom w:val="single" w:color="auto" w:sz="4" w:space="0"/>
            </w:tcBorders>
          </w:tcPr>
          <w:p>
            <w:r>
              <w:rPr>
                <w:rFonts w:hint="eastAsia"/>
              </w:rPr>
              <w:t>Sample</w:t>
            </w:r>
          </w:p>
        </w:tc>
        <w:tc>
          <w:tcPr>
            <w:tcW w:w="2000" w:type="dxa"/>
            <w:tcBorders>
              <w:top w:val="single" w:color="auto" w:sz="4" w:space="0"/>
              <w:bottom w:val="single" w:color="auto" w:sz="4" w:space="0"/>
            </w:tcBorders>
          </w:tcPr>
          <w:p>
            <w:pPr>
              <w:rPr>
                <w:vertAlign w:val="superscript"/>
              </w:rPr>
            </w:pPr>
            <w:r>
              <w:rPr>
                <w:rFonts w:hint="eastAsia"/>
              </w:rPr>
              <w:t>Wavenumber / cm</w:t>
            </w:r>
            <w:r>
              <w:rPr>
                <w:rFonts w:hint="eastAsia"/>
                <w:vertAlign w:val="superscript"/>
              </w:rPr>
              <w:t>-1</w:t>
            </w:r>
          </w:p>
        </w:tc>
        <w:tc>
          <w:tcPr>
            <w:tcW w:w="3495" w:type="dxa"/>
            <w:tcBorders>
              <w:top w:val="single" w:color="auto" w:sz="4" w:space="0"/>
              <w:bottom w:val="single" w:color="auto" w:sz="4" w:space="0"/>
            </w:tcBorders>
          </w:tcPr>
          <w:p>
            <w:r>
              <w:rPr>
                <w:rFonts w:hint="eastAsia"/>
              </w:rPr>
              <w:t>Assignment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2545" w:type="dxa"/>
            <w:tcBorders>
              <w:top w:val="single" w:color="auto" w:sz="4" w:space="0"/>
            </w:tcBorders>
          </w:tcPr>
          <w:p>
            <w:r>
              <w:rPr>
                <w:rFonts w:hint="eastAsia"/>
              </w:rPr>
              <w:t>Pt/C-1</w:t>
            </w:r>
          </w:p>
        </w:tc>
        <w:tc>
          <w:tcPr>
            <w:tcW w:w="2000" w:type="dxa"/>
            <w:tcBorders>
              <w:top w:val="single" w:color="auto" w:sz="4" w:space="0"/>
            </w:tcBorders>
          </w:tcPr>
          <w:p>
            <w:r>
              <w:rPr>
                <w:rFonts w:hint="eastAsia"/>
              </w:rPr>
              <w:t>605</w:t>
            </w:r>
          </w:p>
        </w:tc>
        <w:tc>
          <w:tcPr>
            <w:tcW w:w="3495" w:type="dxa"/>
            <w:tcBorders>
              <w:top w:val="single" w:color="auto" w:sz="4" w:space="0"/>
            </w:tcBorders>
          </w:tcPr>
          <w:p>
            <w:r>
              <w:rPr>
                <w:rFonts w:hint="eastAsia"/>
              </w:rPr>
              <w:t>C-F (CF</w:t>
            </w:r>
            <w:r>
              <w:rPr>
                <w:rFonts w:hint="eastAsia"/>
                <w:vertAlign w:val="subscript"/>
              </w:rPr>
              <w:t>3</w:t>
            </w:r>
            <w:r>
              <w:rPr>
                <w:rFonts w:hint="eastAsia"/>
              </w:rPr>
              <w:t>) in-plane bending</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jc w:val="center"/>
        </w:trPr>
        <w:tc>
          <w:tcPr>
            <w:tcW w:w="2545" w:type="dxa"/>
          </w:tcPr>
          <w:p>
            <w:r>
              <w:rPr>
                <w:rFonts w:hint="eastAsia"/>
              </w:rPr>
              <w:t>Pt/C-2</w:t>
            </w:r>
          </w:p>
        </w:tc>
        <w:tc>
          <w:tcPr>
            <w:tcW w:w="2000" w:type="dxa"/>
          </w:tcPr>
          <w:p>
            <w:r>
              <w:rPr>
                <w:rFonts w:hint="eastAsia"/>
              </w:rPr>
              <w:t>3359</w:t>
            </w:r>
          </w:p>
          <w:p>
            <w:r>
              <w:rPr>
                <w:rFonts w:hint="eastAsia"/>
              </w:rPr>
              <w:t>3447</w:t>
            </w:r>
          </w:p>
        </w:tc>
        <w:tc>
          <w:tcPr>
            <w:tcW w:w="3495" w:type="dxa"/>
          </w:tcPr>
          <w:p>
            <w:r>
              <w:rPr>
                <w:rFonts w:hint="eastAsia"/>
              </w:rPr>
              <w:t>N-H (NH</w:t>
            </w:r>
            <w:r>
              <w:rPr>
                <w:rFonts w:hint="eastAsia"/>
                <w:vertAlign w:val="subscript"/>
              </w:rPr>
              <w:t>2</w:t>
            </w:r>
            <w:r>
              <w:rPr>
                <w:rFonts w:hint="eastAsia"/>
              </w:rPr>
              <w:t>) symmetric stretching</w:t>
            </w:r>
          </w:p>
          <w:p>
            <w:r>
              <w:rPr>
                <w:rFonts w:hint="eastAsia"/>
              </w:rPr>
              <w:t>N-H (NH</w:t>
            </w:r>
            <w:r>
              <w:rPr>
                <w:rFonts w:hint="eastAsia"/>
                <w:vertAlign w:val="subscript"/>
              </w:rPr>
              <w:t>2</w:t>
            </w:r>
            <w:r>
              <w:rPr>
                <w:rFonts w:hint="eastAsia"/>
              </w:rPr>
              <w:t>) asymmetric stretching</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jc w:val="center"/>
        </w:trPr>
        <w:tc>
          <w:tcPr>
            <w:tcW w:w="2545" w:type="dxa"/>
          </w:tcPr>
          <w:p>
            <w:r>
              <w:rPr>
                <w:rFonts w:hint="eastAsia"/>
              </w:rPr>
              <w:t>Pt/C-3</w:t>
            </w:r>
          </w:p>
        </w:tc>
        <w:tc>
          <w:tcPr>
            <w:tcW w:w="2000" w:type="dxa"/>
          </w:tcPr>
          <w:p>
            <w:r>
              <w:rPr>
                <w:rFonts w:hint="eastAsia"/>
              </w:rPr>
              <w:t>1283</w:t>
            </w:r>
          </w:p>
          <w:p>
            <w:r>
              <w:rPr>
                <w:rFonts w:hint="eastAsia"/>
              </w:rPr>
              <w:t>3374</w:t>
            </w:r>
          </w:p>
        </w:tc>
        <w:tc>
          <w:tcPr>
            <w:tcW w:w="3495" w:type="dxa"/>
          </w:tcPr>
          <w:p>
            <w:r>
              <w:rPr>
                <w:rFonts w:hint="eastAsia"/>
              </w:rPr>
              <w:t>C-F stretching</w:t>
            </w:r>
          </w:p>
          <w:p>
            <w:r>
              <w:rPr>
                <w:rFonts w:hint="eastAsia"/>
              </w:rPr>
              <w:t>N-H (NH</w:t>
            </w:r>
            <w:r>
              <w:rPr>
                <w:rFonts w:hint="eastAsia"/>
                <w:vertAlign w:val="subscript"/>
              </w:rPr>
              <w:t>2</w:t>
            </w:r>
            <w:r>
              <w:rPr>
                <w:rFonts w:hint="eastAsia"/>
              </w:rPr>
              <w:t>) symmetric stretching</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jc w:val="center"/>
        </w:trPr>
        <w:tc>
          <w:tcPr>
            <w:tcW w:w="2545" w:type="dxa"/>
          </w:tcPr>
          <w:p>
            <w:r>
              <w:rPr>
                <w:rFonts w:hint="eastAsia"/>
              </w:rPr>
              <w:t>Pt/C-4</w:t>
            </w:r>
          </w:p>
        </w:tc>
        <w:tc>
          <w:tcPr>
            <w:tcW w:w="2000" w:type="dxa"/>
          </w:tcPr>
          <w:p>
            <w:r>
              <w:rPr>
                <w:rFonts w:hint="eastAsia"/>
              </w:rPr>
              <w:t>632</w:t>
            </w:r>
          </w:p>
          <w:p>
            <w:r>
              <w:rPr>
                <w:rFonts w:hint="eastAsia"/>
              </w:rPr>
              <w:t>3394</w:t>
            </w:r>
          </w:p>
        </w:tc>
        <w:tc>
          <w:tcPr>
            <w:tcW w:w="3495" w:type="dxa"/>
          </w:tcPr>
          <w:p>
            <w:r>
              <w:rPr>
                <w:rFonts w:hint="eastAsia"/>
              </w:rPr>
              <w:t>CF</w:t>
            </w:r>
            <w:r>
              <w:rPr>
                <w:rFonts w:hint="eastAsia"/>
                <w:vertAlign w:val="subscript"/>
              </w:rPr>
              <w:t>3</w:t>
            </w:r>
            <w:r>
              <w:rPr>
                <w:rFonts w:hint="eastAsia"/>
              </w:rPr>
              <w:t xml:space="preserve"> in-plane bending</w:t>
            </w:r>
          </w:p>
          <w:p>
            <w:r>
              <w:rPr>
                <w:rFonts w:hint="eastAsia"/>
              </w:rPr>
              <w:t>N-H (NH</w:t>
            </w:r>
            <w:r>
              <w:rPr>
                <w:rFonts w:hint="eastAsia"/>
                <w:vertAlign w:val="subscript"/>
              </w:rPr>
              <w:t>2</w:t>
            </w:r>
            <w:r>
              <w:rPr>
                <w:rFonts w:hint="eastAsia"/>
              </w:rPr>
              <w:t>) symmetric stretching</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2545" w:type="dxa"/>
          </w:tcPr>
          <w:p>
            <w:r>
              <w:rPr>
                <w:rFonts w:hint="eastAsia"/>
              </w:rPr>
              <w:t>Pt/C-</w:t>
            </w:r>
            <w:r>
              <w:t>5</w:t>
            </w:r>
          </w:p>
        </w:tc>
        <w:tc>
          <w:tcPr>
            <w:tcW w:w="2000" w:type="dxa"/>
          </w:tcPr>
          <w:p>
            <w:r>
              <w:rPr>
                <w:rFonts w:hint="eastAsia"/>
              </w:rPr>
              <w:t>3423</w:t>
            </w:r>
          </w:p>
        </w:tc>
        <w:tc>
          <w:tcPr>
            <w:tcW w:w="3495" w:type="dxa"/>
          </w:tcPr>
          <w:p>
            <w:r>
              <w:rPr>
                <w:rFonts w:hint="eastAsia"/>
              </w:rPr>
              <w:t xml:space="preserve"> N-H (ArNHR) stretching</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2545" w:type="dxa"/>
          </w:tcPr>
          <w:p>
            <w:r>
              <w:rPr>
                <w:rFonts w:hint="eastAsia"/>
              </w:rPr>
              <w:t>Pt/C-</w:t>
            </w:r>
            <w:r>
              <w:t>6</w:t>
            </w:r>
          </w:p>
        </w:tc>
        <w:tc>
          <w:tcPr>
            <w:tcW w:w="2000" w:type="dxa"/>
          </w:tcPr>
          <w:p>
            <w:r>
              <w:rPr>
                <w:rFonts w:hint="eastAsia"/>
              </w:rPr>
              <w:t>1353</w:t>
            </w:r>
          </w:p>
        </w:tc>
        <w:tc>
          <w:tcPr>
            <w:tcW w:w="3495" w:type="dxa"/>
          </w:tcPr>
          <w:p>
            <w:r>
              <w:rPr>
                <w:rFonts w:hint="eastAsia"/>
              </w:rPr>
              <w:t>C-N (ArNR</w:t>
            </w:r>
            <w:r>
              <w:rPr>
                <w:rFonts w:hint="eastAsia"/>
                <w:vertAlign w:val="subscript"/>
              </w:rPr>
              <w:t>2</w:t>
            </w:r>
            <w:r>
              <w:rPr>
                <w:rFonts w:hint="eastAsia"/>
              </w:rPr>
              <w:t>) stretching</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jc w:val="center"/>
        </w:trPr>
        <w:tc>
          <w:tcPr>
            <w:tcW w:w="2545" w:type="dxa"/>
          </w:tcPr>
          <w:p>
            <w:r>
              <w:rPr>
                <w:rFonts w:hint="eastAsia"/>
              </w:rPr>
              <w:t>Pt/C-</w:t>
            </w:r>
            <w:r>
              <w:t>7</w:t>
            </w:r>
          </w:p>
        </w:tc>
        <w:tc>
          <w:tcPr>
            <w:tcW w:w="2000" w:type="dxa"/>
          </w:tcPr>
          <w:p>
            <w:r>
              <w:rPr>
                <w:rFonts w:hint="eastAsia"/>
              </w:rPr>
              <w:t>3319</w:t>
            </w:r>
          </w:p>
          <w:p>
            <w:r>
              <w:rPr>
                <w:rFonts w:hint="eastAsia"/>
              </w:rPr>
              <w:t>3380</w:t>
            </w:r>
          </w:p>
        </w:tc>
        <w:tc>
          <w:tcPr>
            <w:tcW w:w="3495" w:type="dxa"/>
          </w:tcPr>
          <w:p>
            <w:r>
              <w:rPr>
                <w:rFonts w:hint="eastAsia"/>
              </w:rPr>
              <w:t>N-H (NH</w:t>
            </w:r>
            <w:r>
              <w:rPr>
                <w:rFonts w:hint="eastAsia"/>
                <w:vertAlign w:val="subscript"/>
              </w:rPr>
              <w:t>2</w:t>
            </w:r>
            <w:r>
              <w:rPr>
                <w:rFonts w:hint="eastAsia"/>
              </w:rPr>
              <w:t>) symmetric stretching</w:t>
            </w:r>
          </w:p>
          <w:p>
            <w:r>
              <w:rPr>
                <w:rFonts w:hint="eastAsia"/>
              </w:rPr>
              <w:t>N-H (NH</w:t>
            </w:r>
            <w:r>
              <w:rPr>
                <w:rFonts w:hint="eastAsia"/>
                <w:vertAlign w:val="subscript"/>
              </w:rPr>
              <w:t>2</w:t>
            </w:r>
            <w:r>
              <w:rPr>
                <w:rFonts w:hint="eastAsia"/>
              </w:rPr>
              <w:t>) asymmetric stretching</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jc w:val="center"/>
        </w:trPr>
        <w:tc>
          <w:tcPr>
            <w:tcW w:w="2545" w:type="dxa"/>
          </w:tcPr>
          <w:p>
            <w:r>
              <w:rPr>
                <w:rFonts w:hint="eastAsia"/>
              </w:rPr>
              <w:t>Pt/C-</w:t>
            </w:r>
            <w:r>
              <w:t>8</w:t>
            </w:r>
          </w:p>
        </w:tc>
        <w:tc>
          <w:tcPr>
            <w:tcW w:w="2000" w:type="dxa"/>
          </w:tcPr>
          <w:p>
            <w:r>
              <w:rPr>
                <w:rFonts w:hint="eastAsia"/>
              </w:rPr>
              <w:t>830</w:t>
            </w:r>
          </w:p>
          <w:p>
            <w:r>
              <w:rPr>
                <w:rFonts w:hint="eastAsia"/>
              </w:rPr>
              <w:t>854</w:t>
            </w:r>
          </w:p>
        </w:tc>
        <w:tc>
          <w:tcPr>
            <w:tcW w:w="3495" w:type="dxa"/>
          </w:tcPr>
          <w:p>
            <w:r>
              <w:rPr>
                <w:rFonts w:hint="eastAsia"/>
              </w:rPr>
              <w:t>C-N (R</w:t>
            </w:r>
            <w:r>
              <w:rPr>
                <w:rFonts w:hint="eastAsia"/>
                <w:vertAlign w:val="subscript"/>
              </w:rPr>
              <w:t>3</w:t>
            </w:r>
            <w:r>
              <w:rPr>
                <w:rFonts w:hint="eastAsia"/>
              </w:rPr>
              <w:t>N) symmetric stretching</w:t>
            </w:r>
          </w:p>
          <w:p>
            <w:r>
              <w:rPr>
                <w:rFonts w:hint="eastAsia"/>
              </w:rPr>
              <w:t>C-N (R</w:t>
            </w:r>
            <w:r>
              <w:rPr>
                <w:rFonts w:hint="eastAsia"/>
                <w:vertAlign w:val="subscript"/>
              </w:rPr>
              <w:t>3</w:t>
            </w:r>
            <w:r>
              <w:rPr>
                <w:rFonts w:hint="eastAsia"/>
              </w:rPr>
              <w:t>N) asymmetric stretching</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jc w:val="center"/>
        </w:trPr>
        <w:tc>
          <w:tcPr>
            <w:tcW w:w="2545" w:type="dxa"/>
          </w:tcPr>
          <w:p>
            <w:r>
              <w:rPr>
                <w:rFonts w:hint="eastAsia"/>
              </w:rPr>
              <w:t>Pt/C-</w:t>
            </w:r>
            <w:r>
              <w:t>9</w:t>
            </w:r>
          </w:p>
        </w:tc>
        <w:tc>
          <w:tcPr>
            <w:tcW w:w="2000" w:type="dxa"/>
          </w:tcPr>
          <w:p>
            <w:r>
              <w:rPr>
                <w:rFonts w:hint="eastAsia"/>
              </w:rPr>
              <w:t>3391</w:t>
            </w:r>
          </w:p>
          <w:p>
            <w:r>
              <w:rPr>
                <w:rFonts w:hint="eastAsia"/>
              </w:rPr>
              <w:t>3416</w:t>
            </w:r>
          </w:p>
        </w:tc>
        <w:tc>
          <w:tcPr>
            <w:tcW w:w="3495" w:type="dxa"/>
          </w:tcPr>
          <w:p>
            <w:r>
              <w:rPr>
                <w:rFonts w:hint="eastAsia"/>
              </w:rPr>
              <w:t>N-H (Ar</w:t>
            </w:r>
            <w:r>
              <w:rPr>
                <w:rFonts w:hint="eastAsia"/>
                <w:vertAlign w:val="subscript"/>
              </w:rPr>
              <w:t>2</w:t>
            </w:r>
            <w:r>
              <w:rPr>
                <w:rFonts w:hint="eastAsia"/>
              </w:rPr>
              <w:t>NH) symmetric stretching</w:t>
            </w:r>
          </w:p>
          <w:p>
            <w:r>
              <w:rPr>
                <w:rFonts w:hint="eastAsia"/>
              </w:rPr>
              <w:t>N-H (Ar</w:t>
            </w:r>
            <w:r>
              <w:rPr>
                <w:rFonts w:hint="eastAsia"/>
                <w:vertAlign w:val="subscript"/>
              </w:rPr>
              <w:t>2</w:t>
            </w:r>
            <w:r>
              <w:rPr>
                <w:rFonts w:hint="eastAsia"/>
              </w:rPr>
              <w:t>NH) asymmetric stretching</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jc w:val="center"/>
        </w:trPr>
        <w:tc>
          <w:tcPr>
            <w:tcW w:w="2545" w:type="dxa"/>
          </w:tcPr>
          <w:p>
            <w:r>
              <w:rPr>
                <w:rFonts w:hint="eastAsia"/>
              </w:rPr>
              <w:t>Pt/C-1</w:t>
            </w:r>
            <w:r>
              <w:t>0</w:t>
            </w:r>
          </w:p>
        </w:tc>
        <w:tc>
          <w:tcPr>
            <w:tcW w:w="2000" w:type="dxa"/>
          </w:tcPr>
          <w:p>
            <w:r>
              <w:rPr>
                <w:rFonts w:hint="eastAsia"/>
              </w:rPr>
              <w:t>982</w:t>
            </w:r>
          </w:p>
          <w:p>
            <w:r>
              <w:rPr>
                <w:rFonts w:hint="eastAsia"/>
              </w:rPr>
              <w:t>1086</w:t>
            </w:r>
          </w:p>
        </w:tc>
        <w:tc>
          <w:tcPr>
            <w:tcW w:w="3495" w:type="dxa"/>
          </w:tcPr>
          <w:p>
            <w:r>
              <w:rPr>
                <w:rFonts w:hint="eastAsia"/>
              </w:rPr>
              <w:t xml:space="preserve">ring breathing of </w:t>
            </w:r>
            <w:r>
              <w:t>pyridine</w:t>
            </w:r>
          </w:p>
          <w:p>
            <w:r>
              <w:rPr>
                <w:rFonts w:hint="eastAsia"/>
              </w:rPr>
              <w:t xml:space="preserve">triangular ring breathing of </w:t>
            </w:r>
            <w:r>
              <w:t>pyridine</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jc w:val="center"/>
        </w:trPr>
        <w:tc>
          <w:tcPr>
            <w:tcW w:w="2545" w:type="dxa"/>
          </w:tcPr>
          <w:p>
            <w:r>
              <w:rPr>
                <w:rFonts w:hint="eastAsia"/>
              </w:rPr>
              <w:t>Pt/C-1</w:t>
            </w:r>
            <w:r>
              <w:t>1</w:t>
            </w:r>
          </w:p>
        </w:tc>
        <w:tc>
          <w:tcPr>
            <w:tcW w:w="2000" w:type="dxa"/>
          </w:tcPr>
          <w:p>
            <w:r>
              <w:rPr>
                <w:rFonts w:hint="eastAsia"/>
              </w:rPr>
              <w:t>1004</w:t>
            </w:r>
          </w:p>
          <w:p>
            <w:r>
              <w:rPr>
                <w:rFonts w:hint="eastAsia"/>
              </w:rPr>
              <w:t>1101</w:t>
            </w:r>
          </w:p>
        </w:tc>
        <w:tc>
          <w:tcPr>
            <w:tcW w:w="3495" w:type="dxa"/>
          </w:tcPr>
          <w:p>
            <w:r>
              <w:rPr>
                <w:rFonts w:hint="eastAsia"/>
              </w:rPr>
              <w:t xml:space="preserve">ring breathing of </w:t>
            </w:r>
            <w:r>
              <w:t>pyridine</w:t>
            </w:r>
          </w:p>
          <w:p>
            <w:r>
              <w:rPr>
                <w:rFonts w:hint="eastAsia"/>
              </w:rPr>
              <w:t xml:space="preserve">triangular ring breathing of </w:t>
            </w:r>
            <w:r>
              <w:t>pyridine</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jc w:val="center"/>
        </w:trPr>
        <w:tc>
          <w:tcPr>
            <w:tcW w:w="2545" w:type="dxa"/>
          </w:tcPr>
          <w:p>
            <w:r>
              <w:rPr>
                <w:rFonts w:hint="eastAsia"/>
              </w:rPr>
              <w:t>Pt/C-1</w:t>
            </w:r>
            <w:r>
              <w:t>2</w:t>
            </w:r>
          </w:p>
        </w:tc>
        <w:tc>
          <w:tcPr>
            <w:tcW w:w="2000" w:type="dxa"/>
          </w:tcPr>
          <w:p>
            <w:r>
              <w:rPr>
                <w:rFonts w:hint="eastAsia"/>
              </w:rPr>
              <w:t>1002</w:t>
            </w:r>
          </w:p>
          <w:p>
            <w:r>
              <w:rPr>
                <w:rFonts w:hint="eastAsia"/>
              </w:rPr>
              <w:t>1704</w:t>
            </w:r>
          </w:p>
        </w:tc>
        <w:tc>
          <w:tcPr>
            <w:tcW w:w="3495" w:type="dxa"/>
          </w:tcPr>
          <w:p>
            <w:r>
              <w:rPr>
                <w:rFonts w:hint="eastAsia"/>
              </w:rPr>
              <w:t xml:space="preserve">ring breathing of </w:t>
            </w:r>
            <w:r>
              <w:t>pyridine</w:t>
            </w:r>
          </w:p>
          <w:p>
            <w:r>
              <w:rPr>
                <w:rFonts w:hint="eastAsia"/>
              </w:rPr>
              <w:t>C=O stretching</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jc w:val="center"/>
        </w:trPr>
        <w:tc>
          <w:tcPr>
            <w:tcW w:w="2545" w:type="dxa"/>
          </w:tcPr>
          <w:p>
            <w:r>
              <w:rPr>
                <w:rFonts w:hint="eastAsia"/>
              </w:rPr>
              <w:t>Pt/C-1</w:t>
            </w:r>
            <w:r>
              <w:t>3</w:t>
            </w:r>
          </w:p>
        </w:tc>
        <w:tc>
          <w:tcPr>
            <w:tcW w:w="2000" w:type="dxa"/>
          </w:tcPr>
          <w:p>
            <w:r>
              <w:rPr>
                <w:rFonts w:hint="eastAsia"/>
              </w:rPr>
              <w:t>1004</w:t>
            </w:r>
          </w:p>
          <w:p>
            <w:r>
              <w:rPr>
                <w:rFonts w:hint="eastAsia"/>
              </w:rPr>
              <w:t>1706</w:t>
            </w:r>
          </w:p>
        </w:tc>
        <w:tc>
          <w:tcPr>
            <w:tcW w:w="3495" w:type="dxa"/>
          </w:tcPr>
          <w:p>
            <w:r>
              <w:rPr>
                <w:rFonts w:hint="eastAsia"/>
              </w:rPr>
              <w:t xml:space="preserve">ring breathing of </w:t>
            </w:r>
            <w:r>
              <w:t>pyridine</w:t>
            </w:r>
          </w:p>
          <w:p>
            <w:r>
              <w:rPr>
                <w:rFonts w:hint="eastAsia"/>
              </w:rPr>
              <w:t>C=O stretching</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jc w:val="center"/>
        </w:trPr>
        <w:tc>
          <w:tcPr>
            <w:tcW w:w="2545" w:type="dxa"/>
          </w:tcPr>
          <w:p>
            <w:r>
              <w:rPr>
                <w:rFonts w:hint="eastAsia"/>
              </w:rPr>
              <w:t>Pt/C-1</w:t>
            </w:r>
            <w:r>
              <w:t>4</w:t>
            </w:r>
          </w:p>
        </w:tc>
        <w:tc>
          <w:tcPr>
            <w:tcW w:w="2000" w:type="dxa"/>
          </w:tcPr>
          <w:p>
            <w:r>
              <w:rPr>
                <w:rFonts w:hint="eastAsia"/>
              </w:rPr>
              <w:t>1442</w:t>
            </w:r>
          </w:p>
        </w:tc>
        <w:tc>
          <w:tcPr>
            <w:tcW w:w="3495" w:type="dxa"/>
          </w:tcPr>
          <w:p>
            <w:r>
              <w:rPr>
                <w:rFonts w:hint="eastAsia"/>
              </w:rPr>
              <w:t xml:space="preserve">C=O (COOK) stretching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jc w:val="center"/>
        </w:trPr>
        <w:tc>
          <w:tcPr>
            <w:tcW w:w="2545" w:type="dxa"/>
          </w:tcPr>
          <w:p>
            <w:r>
              <w:rPr>
                <w:rFonts w:hint="eastAsia"/>
              </w:rPr>
              <w:t>Pt/C-1</w:t>
            </w:r>
            <w:r>
              <w:t>5</w:t>
            </w:r>
          </w:p>
        </w:tc>
        <w:tc>
          <w:tcPr>
            <w:tcW w:w="2000" w:type="dxa"/>
          </w:tcPr>
          <w:p>
            <w:r>
              <w:rPr>
                <w:rFonts w:hint="eastAsia"/>
              </w:rPr>
              <w:t>1391</w:t>
            </w:r>
          </w:p>
          <w:p/>
        </w:tc>
        <w:tc>
          <w:tcPr>
            <w:tcW w:w="3495" w:type="dxa"/>
          </w:tcPr>
          <w:p>
            <w:r>
              <w:rPr>
                <w:rFonts w:hint="eastAsia"/>
              </w:rPr>
              <w:t>C=O (COOK) stretching</w:t>
            </w:r>
          </w:p>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11" w:hRule="atLeast"/>
          <w:jc w:val="center"/>
        </w:trPr>
        <w:tc>
          <w:tcPr>
            <w:tcW w:w="2545" w:type="dxa"/>
            <w:tcBorders>
              <w:bottom w:val="single" w:color="auto" w:sz="4" w:space="0"/>
            </w:tcBorders>
          </w:tcPr>
          <w:p>
            <w:r>
              <w:rPr>
                <w:rFonts w:hint="eastAsia"/>
              </w:rPr>
              <w:t>Pt/C-1</w:t>
            </w:r>
            <w:r>
              <w:t>6</w:t>
            </w:r>
          </w:p>
        </w:tc>
        <w:tc>
          <w:tcPr>
            <w:tcW w:w="2000" w:type="dxa"/>
            <w:tcBorders>
              <w:bottom w:val="single" w:color="auto" w:sz="4" w:space="0"/>
            </w:tcBorders>
          </w:tcPr>
          <w:p>
            <w:r>
              <w:rPr>
                <w:rFonts w:hint="eastAsia"/>
              </w:rPr>
              <w:t>1285</w:t>
            </w:r>
          </w:p>
          <w:p>
            <w:r>
              <w:rPr>
                <w:rFonts w:hint="eastAsia"/>
              </w:rPr>
              <w:t>1290</w:t>
            </w:r>
          </w:p>
          <w:p>
            <w:r>
              <w:rPr>
                <w:rFonts w:hint="eastAsia"/>
              </w:rPr>
              <w:t>3352</w:t>
            </w:r>
          </w:p>
        </w:tc>
        <w:tc>
          <w:tcPr>
            <w:tcW w:w="3495" w:type="dxa"/>
            <w:tcBorders>
              <w:bottom w:val="single" w:color="auto" w:sz="4" w:space="0"/>
            </w:tcBorders>
          </w:tcPr>
          <w:p>
            <w:r>
              <w:rPr>
                <w:rFonts w:hint="eastAsia"/>
              </w:rPr>
              <w:t>C-O (ArOK) stretching</w:t>
            </w:r>
          </w:p>
          <w:p>
            <w:r>
              <w:rPr>
                <w:rFonts w:hint="eastAsia"/>
              </w:rPr>
              <w:t>C-O (ArOH) stretching</w:t>
            </w:r>
          </w:p>
          <w:p>
            <w:r>
              <w:rPr>
                <w:rFonts w:hint="eastAsia"/>
              </w:rPr>
              <w:t>N-H (NH</w:t>
            </w:r>
            <w:r>
              <w:rPr>
                <w:rFonts w:hint="eastAsia"/>
                <w:vertAlign w:val="subscript"/>
              </w:rPr>
              <w:t>2</w:t>
            </w:r>
            <w:r>
              <w:rPr>
                <w:rFonts w:hint="eastAsia"/>
              </w:rPr>
              <w:t>) symmetric stretching</w:t>
            </w:r>
          </w:p>
        </w:tc>
      </w:tr>
    </w:tbl>
    <w:p/>
    <w:p>
      <w:r>
        <w:br w:type="page"/>
      </w:r>
    </w:p>
    <w:p>
      <w:r>
        <w:drawing>
          <wp:inline distT="0" distB="0" distL="0" distR="0">
            <wp:extent cx="5274310" cy="3952875"/>
            <wp:effectExtent l="0" t="0" r="2540" b="9525"/>
            <wp:docPr id="152786797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27867972" name="图片 1"/>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a:xfrm>
                      <a:off x="0" y="0"/>
                      <a:ext cx="5274310" cy="3952875"/>
                    </a:xfrm>
                    <a:prstGeom prst="rect">
                      <a:avLst/>
                    </a:prstGeom>
                    <a:noFill/>
                    <a:ln>
                      <a:noFill/>
                    </a:ln>
                  </pic:spPr>
                </pic:pic>
              </a:graphicData>
            </a:graphic>
          </wp:inline>
        </w:drawing>
      </w:r>
    </w:p>
    <w:p>
      <w:r>
        <w:rPr>
          <w:rFonts w:hint="eastAsia"/>
          <w:b/>
        </w:rPr>
        <w:t>Figure S</w:t>
      </w:r>
      <w:r>
        <w:rPr>
          <w:b/>
        </w:rPr>
        <w:t>1</w:t>
      </w:r>
      <w:r>
        <w:rPr>
          <w:rFonts w:hint="eastAsia"/>
          <w:b/>
        </w:rPr>
        <w:t>7</w:t>
      </w:r>
      <w:r>
        <w:rPr>
          <w:b/>
        </w:rPr>
        <w:t>.</w:t>
      </w:r>
      <w:r>
        <w:rPr>
          <w:rFonts w:hint="eastAsia"/>
        </w:rPr>
        <w:t xml:space="preserve"> </w:t>
      </w:r>
      <w:r>
        <w:t>Spectra at the Pt/C-x (x = 8</w:t>
      </w:r>
      <w:r>
        <w:rPr>
          <w:rFonts w:hint="eastAsia"/>
        </w:rPr>
        <w:t xml:space="preserve"> </w:t>
      </w:r>
      <w:r>
        <w:t>and 15) electrode in Ar-saturated 0.1 M KOH calculated using the spectra at 0.55 V as the reference</w:t>
      </w:r>
      <w:r>
        <w:rPr>
          <w:rFonts w:hint="eastAsia"/>
        </w:rPr>
        <w:t xml:space="preserve">. </w:t>
      </w:r>
      <w:r>
        <w:t xml:space="preserve">These spectra are fitted with three Gaussian curves (blue, red and green, </w:t>
      </w:r>
      <w:bookmarkStart w:id="2" w:name="_GoBack"/>
      <w:bookmarkEnd w:id="2"/>
      <w:r>
        <w:t>respectively).</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mbria Math">
    <w:panose1 w:val="02040503050406030204"/>
    <w:charset w:val="00"/>
    <w:family w:val="roman"/>
    <w:pitch w:val="default"/>
    <w:sig w:usb0="E00006FF" w:usb1="420024FF" w:usb2="02000000"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70"/>
  <w:bordersDoNotSurroundHeader w:val="1"/>
  <w:bordersDoNotSurroundFooter w:val="1"/>
  <w:documentProtection w:enforcement="0"/>
  <w:defaultTabStop w:val="420"/>
  <w:drawingGridHorizontalSpacing w:val="11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ODMwYWFkYTRkNzI1OGFlM2YxZjRlOGU1YWFiMDdiM2EifQ=="/>
  </w:docVars>
  <w:rsids>
    <w:rsidRoot w:val="007937D8"/>
    <w:rsid w:val="00006F1A"/>
    <w:rsid w:val="00013CEA"/>
    <w:rsid w:val="000301E2"/>
    <w:rsid w:val="00035642"/>
    <w:rsid w:val="00057342"/>
    <w:rsid w:val="0007197A"/>
    <w:rsid w:val="00073A55"/>
    <w:rsid w:val="000C590E"/>
    <w:rsid w:val="000C69FF"/>
    <w:rsid w:val="000E0018"/>
    <w:rsid w:val="00100965"/>
    <w:rsid w:val="00103771"/>
    <w:rsid w:val="00116A22"/>
    <w:rsid w:val="00135B46"/>
    <w:rsid w:val="001A4E49"/>
    <w:rsid w:val="001D1653"/>
    <w:rsid w:val="001E62A0"/>
    <w:rsid w:val="00211B93"/>
    <w:rsid w:val="002163C1"/>
    <w:rsid w:val="00232F4C"/>
    <w:rsid w:val="0026241C"/>
    <w:rsid w:val="0028645F"/>
    <w:rsid w:val="0029387D"/>
    <w:rsid w:val="002955A3"/>
    <w:rsid w:val="00295F03"/>
    <w:rsid w:val="002C3060"/>
    <w:rsid w:val="002C39C2"/>
    <w:rsid w:val="002F5095"/>
    <w:rsid w:val="002F61B5"/>
    <w:rsid w:val="00320913"/>
    <w:rsid w:val="00326B6C"/>
    <w:rsid w:val="0035784A"/>
    <w:rsid w:val="00366696"/>
    <w:rsid w:val="003758DC"/>
    <w:rsid w:val="00376A7B"/>
    <w:rsid w:val="003959A1"/>
    <w:rsid w:val="003A1B12"/>
    <w:rsid w:val="003A4798"/>
    <w:rsid w:val="003B5042"/>
    <w:rsid w:val="003B6A37"/>
    <w:rsid w:val="00407C69"/>
    <w:rsid w:val="00416767"/>
    <w:rsid w:val="00422251"/>
    <w:rsid w:val="00422844"/>
    <w:rsid w:val="0048237E"/>
    <w:rsid w:val="004842E3"/>
    <w:rsid w:val="00484B41"/>
    <w:rsid w:val="00493082"/>
    <w:rsid w:val="004B0AAC"/>
    <w:rsid w:val="004E471D"/>
    <w:rsid w:val="004F0F11"/>
    <w:rsid w:val="00502AFE"/>
    <w:rsid w:val="00505988"/>
    <w:rsid w:val="00530C96"/>
    <w:rsid w:val="00534151"/>
    <w:rsid w:val="0053700A"/>
    <w:rsid w:val="00542F1E"/>
    <w:rsid w:val="005663DD"/>
    <w:rsid w:val="00573158"/>
    <w:rsid w:val="005807BC"/>
    <w:rsid w:val="005C0BDA"/>
    <w:rsid w:val="005C27BB"/>
    <w:rsid w:val="005C700B"/>
    <w:rsid w:val="005E1815"/>
    <w:rsid w:val="00646A25"/>
    <w:rsid w:val="00664F16"/>
    <w:rsid w:val="0067712D"/>
    <w:rsid w:val="00680BEA"/>
    <w:rsid w:val="006944FE"/>
    <w:rsid w:val="006B7628"/>
    <w:rsid w:val="006C0A2F"/>
    <w:rsid w:val="006D393A"/>
    <w:rsid w:val="00710290"/>
    <w:rsid w:val="00716074"/>
    <w:rsid w:val="00720C51"/>
    <w:rsid w:val="00724660"/>
    <w:rsid w:val="007466C7"/>
    <w:rsid w:val="007508E2"/>
    <w:rsid w:val="0076626F"/>
    <w:rsid w:val="00771521"/>
    <w:rsid w:val="007937D8"/>
    <w:rsid w:val="007965F4"/>
    <w:rsid w:val="007A3A96"/>
    <w:rsid w:val="007A4248"/>
    <w:rsid w:val="007C228E"/>
    <w:rsid w:val="007C450F"/>
    <w:rsid w:val="007D2A0B"/>
    <w:rsid w:val="007E384D"/>
    <w:rsid w:val="007E7EB7"/>
    <w:rsid w:val="00803C0E"/>
    <w:rsid w:val="00812675"/>
    <w:rsid w:val="00864A5B"/>
    <w:rsid w:val="00871654"/>
    <w:rsid w:val="008955E3"/>
    <w:rsid w:val="008A1953"/>
    <w:rsid w:val="008B46D0"/>
    <w:rsid w:val="008B5D5B"/>
    <w:rsid w:val="008C0D4A"/>
    <w:rsid w:val="008C1C40"/>
    <w:rsid w:val="008C5F69"/>
    <w:rsid w:val="008F3192"/>
    <w:rsid w:val="008F7F67"/>
    <w:rsid w:val="009041A7"/>
    <w:rsid w:val="009169B1"/>
    <w:rsid w:val="00917FB3"/>
    <w:rsid w:val="0093483F"/>
    <w:rsid w:val="00934ED6"/>
    <w:rsid w:val="009361A3"/>
    <w:rsid w:val="009412C1"/>
    <w:rsid w:val="0094273E"/>
    <w:rsid w:val="0094298A"/>
    <w:rsid w:val="009507DF"/>
    <w:rsid w:val="00953955"/>
    <w:rsid w:val="00955429"/>
    <w:rsid w:val="00984EAB"/>
    <w:rsid w:val="0099353C"/>
    <w:rsid w:val="009B3BA3"/>
    <w:rsid w:val="009E6231"/>
    <w:rsid w:val="00A0024C"/>
    <w:rsid w:val="00A15AB1"/>
    <w:rsid w:val="00A31E28"/>
    <w:rsid w:val="00A921E3"/>
    <w:rsid w:val="00A95C49"/>
    <w:rsid w:val="00AC6C20"/>
    <w:rsid w:val="00AD29B4"/>
    <w:rsid w:val="00AD4919"/>
    <w:rsid w:val="00AE1EFD"/>
    <w:rsid w:val="00B02855"/>
    <w:rsid w:val="00B043D7"/>
    <w:rsid w:val="00B20551"/>
    <w:rsid w:val="00B329C0"/>
    <w:rsid w:val="00B35431"/>
    <w:rsid w:val="00B41319"/>
    <w:rsid w:val="00B418F4"/>
    <w:rsid w:val="00B46150"/>
    <w:rsid w:val="00B57913"/>
    <w:rsid w:val="00B92B1F"/>
    <w:rsid w:val="00BA7F6F"/>
    <w:rsid w:val="00BD5527"/>
    <w:rsid w:val="00BF11CF"/>
    <w:rsid w:val="00BF1E9D"/>
    <w:rsid w:val="00BF28D3"/>
    <w:rsid w:val="00C049F4"/>
    <w:rsid w:val="00C16AE0"/>
    <w:rsid w:val="00C32E8E"/>
    <w:rsid w:val="00C44365"/>
    <w:rsid w:val="00C56688"/>
    <w:rsid w:val="00C66AF4"/>
    <w:rsid w:val="00C74A53"/>
    <w:rsid w:val="00C76B66"/>
    <w:rsid w:val="00C918B1"/>
    <w:rsid w:val="00CA45E1"/>
    <w:rsid w:val="00CA71F3"/>
    <w:rsid w:val="00CB5CF2"/>
    <w:rsid w:val="00CC1EDB"/>
    <w:rsid w:val="00CD12D4"/>
    <w:rsid w:val="00CD45A1"/>
    <w:rsid w:val="00D0131A"/>
    <w:rsid w:val="00D03276"/>
    <w:rsid w:val="00D03FDC"/>
    <w:rsid w:val="00D102D2"/>
    <w:rsid w:val="00D16B5D"/>
    <w:rsid w:val="00D703A5"/>
    <w:rsid w:val="00D87CC3"/>
    <w:rsid w:val="00D944D7"/>
    <w:rsid w:val="00DB67C1"/>
    <w:rsid w:val="00DC6094"/>
    <w:rsid w:val="00E00AD8"/>
    <w:rsid w:val="00E06A41"/>
    <w:rsid w:val="00E13AC7"/>
    <w:rsid w:val="00E241D5"/>
    <w:rsid w:val="00E37DE7"/>
    <w:rsid w:val="00E41B15"/>
    <w:rsid w:val="00E6378B"/>
    <w:rsid w:val="00E9037B"/>
    <w:rsid w:val="00EC555E"/>
    <w:rsid w:val="00EC71B1"/>
    <w:rsid w:val="00EE6E92"/>
    <w:rsid w:val="00F06FC5"/>
    <w:rsid w:val="00F1151B"/>
    <w:rsid w:val="00F148DE"/>
    <w:rsid w:val="00F178BB"/>
    <w:rsid w:val="00F25435"/>
    <w:rsid w:val="00F421AE"/>
    <w:rsid w:val="00F44B44"/>
    <w:rsid w:val="00F524F6"/>
    <w:rsid w:val="00F52726"/>
    <w:rsid w:val="00F567E7"/>
    <w:rsid w:val="00F67540"/>
    <w:rsid w:val="00F84CF9"/>
    <w:rsid w:val="00FC3328"/>
    <w:rsid w:val="00FD41F2"/>
    <w:rsid w:val="07D0515F"/>
    <w:rsid w:val="0A6A2F84"/>
    <w:rsid w:val="21FB4D47"/>
    <w:rsid w:val="4AC00034"/>
    <w:rsid w:val="5D5721EF"/>
    <w:rsid w:val="635B19C6"/>
    <w:rsid w:val="697F1F29"/>
    <w:rsid w:val="6A0B4EE8"/>
    <w:rsid w:val="7A154E1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qFormat="1" w:uiPriority="99" w:semiHidden="0" w:name="Placeholder Text"/>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heme="minorBidi"/>
      <w:sz w:val="22"/>
      <w:szCs w:val="22"/>
      <w:lang w:val="en-US" w:eastAsia="zh-CN" w:bidi="ar-SA"/>
    </w:rPr>
  </w:style>
  <w:style w:type="character" w:default="1" w:styleId="8">
    <w:name w:val="Default Paragraph Font"/>
    <w:semiHidden/>
    <w:unhideWhenUsed/>
    <w:uiPriority w:val="1"/>
  </w:style>
  <w:style w:type="table" w:default="1" w:styleId="6">
    <w:name w:val="Normal Table"/>
    <w:autoRedefine/>
    <w:semiHidden/>
    <w:unhideWhenUsed/>
    <w:qFormat/>
    <w:uiPriority w:val="99"/>
    <w:tblPr>
      <w:tblCellMar>
        <w:top w:w="0" w:type="dxa"/>
        <w:left w:w="108" w:type="dxa"/>
        <w:bottom w:w="0" w:type="dxa"/>
        <w:right w:w="108" w:type="dxa"/>
      </w:tblCellMar>
    </w:tblPr>
  </w:style>
  <w:style w:type="paragraph" w:styleId="2">
    <w:name w:val="annotation text"/>
    <w:basedOn w:val="1"/>
    <w:link w:val="13"/>
    <w:autoRedefine/>
    <w:unhideWhenUsed/>
    <w:qFormat/>
    <w:uiPriority w:val="99"/>
    <w:pPr>
      <w:jc w:val="left"/>
    </w:pPr>
  </w:style>
  <w:style w:type="paragraph" w:styleId="3">
    <w:name w:val="footer"/>
    <w:basedOn w:val="1"/>
    <w:link w:val="12"/>
    <w:autoRedefine/>
    <w:unhideWhenUsed/>
    <w:qFormat/>
    <w:uiPriority w:val="99"/>
    <w:pPr>
      <w:tabs>
        <w:tab w:val="center" w:pos="4153"/>
        <w:tab w:val="right" w:pos="8306"/>
      </w:tabs>
      <w:snapToGrid w:val="0"/>
      <w:jc w:val="left"/>
    </w:pPr>
    <w:rPr>
      <w:sz w:val="18"/>
      <w:szCs w:val="18"/>
    </w:rPr>
  </w:style>
  <w:style w:type="paragraph" w:styleId="4">
    <w:name w:val="header"/>
    <w:basedOn w:val="1"/>
    <w:link w:val="11"/>
    <w:autoRedefine/>
    <w:unhideWhenUsed/>
    <w:qFormat/>
    <w:uiPriority w:val="99"/>
    <w:pPr>
      <w:pBdr>
        <w:bottom w:val="single" w:color="auto" w:sz="6" w:space="1"/>
      </w:pBdr>
      <w:tabs>
        <w:tab w:val="center" w:pos="4153"/>
        <w:tab w:val="right" w:pos="8306"/>
      </w:tabs>
      <w:snapToGrid w:val="0"/>
      <w:jc w:val="center"/>
    </w:pPr>
    <w:rPr>
      <w:sz w:val="18"/>
      <w:szCs w:val="18"/>
    </w:rPr>
  </w:style>
  <w:style w:type="paragraph" w:styleId="5">
    <w:name w:val="annotation subject"/>
    <w:basedOn w:val="2"/>
    <w:next w:val="2"/>
    <w:link w:val="14"/>
    <w:autoRedefine/>
    <w:semiHidden/>
    <w:unhideWhenUsed/>
    <w:qFormat/>
    <w:uiPriority w:val="99"/>
    <w:rPr>
      <w:b/>
      <w:bCs/>
    </w:rPr>
  </w:style>
  <w:style w:type="table" w:styleId="7">
    <w:name w:val="Table Grid"/>
    <w:basedOn w:val="6"/>
    <w:autoRedefine/>
    <w:qFormat/>
    <w:uiPriority w:val="59"/>
    <w:rPr>
      <w:rFonts w:ascii="Times New Roman" w:hAnsi="Times New Roman" w:eastAsia="宋体"/>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Hyperlink"/>
    <w:basedOn w:val="8"/>
    <w:autoRedefine/>
    <w:unhideWhenUsed/>
    <w:qFormat/>
    <w:uiPriority w:val="99"/>
    <w:rPr>
      <w:color w:val="0563C1" w:themeColor="hyperlink"/>
      <w:u w:val="single"/>
      <w14:textFill>
        <w14:solidFill>
          <w14:schemeClr w14:val="hlink"/>
        </w14:solidFill>
      </w14:textFill>
    </w:rPr>
  </w:style>
  <w:style w:type="character" w:styleId="10">
    <w:name w:val="annotation reference"/>
    <w:basedOn w:val="8"/>
    <w:autoRedefine/>
    <w:semiHidden/>
    <w:unhideWhenUsed/>
    <w:qFormat/>
    <w:uiPriority w:val="99"/>
    <w:rPr>
      <w:sz w:val="21"/>
      <w:szCs w:val="21"/>
    </w:rPr>
  </w:style>
  <w:style w:type="character" w:customStyle="1" w:styleId="11">
    <w:name w:val="页眉 字符"/>
    <w:basedOn w:val="8"/>
    <w:link w:val="4"/>
    <w:autoRedefine/>
    <w:qFormat/>
    <w:uiPriority w:val="99"/>
    <w:rPr>
      <w:rFonts w:ascii="Times New Roman" w:hAnsi="Times New Roman" w:eastAsia="宋体"/>
      <w:kern w:val="0"/>
      <w:sz w:val="18"/>
      <w:szCs w:val="18"/>
    </w:rPr>
  </w:style>
  <w:style w:type="character" w:customStyle="1" w:styleId="12">
    <w:name w:val="页脚 字符"/>
    <w:basedOn w:val="8"/>
    <w:link w:val="3"/>
    <w:autoRedefine/>
    <w:qFormat/>
    <w:uiPriority w:val="99"/>
    <w:rPr>
      <w:rFonts w:ascii="Times New Roman" w:hAnsi="Times New Roman" w:eastAsia="宋体"/>
      <w:kern w:val="0"/>
      <w:sz w:val="18"/>
      <w:szCs w:val="18"/>
    </w:rPr>
  </w:style>
  <w:style w:type="character" w:customStyle="1" w:styleId="13">
    <w:name w:val="批注文字 字符"/>
    <w:basedOn w:val="8"/>
    <w:link w:val="2"/>
    <w:autoRedefine/>
    <w:qFormat/>
    <w:uiPriority w:val="99"/>
    <w:rPr>
      <w:rFonts w:ascii="Times New Roman" w:hAnsi="Times New Roman" w:eastAsia="宋体"/>
      <w:kern w:val="0"/>
      <w:sz w:val="22"/>
    </w:rPr>
  </w:style>
  <w:style w:type="character" w:customStyle="1" w:styleId="14">
    <w:name w:val="批注主题 字符"/>
    <w:basedOn w:val="13"/>
    <w:link w:val="5"/>
    <w:autoRedefine/>
    <w:semiHidden/>
    <w:qFormat/>
    <w:uiPriority w:val="99"/>
    <w:rPr>
      <w:rFonts w:ascii="Times New Roman" w:hAnsi="Times New Roman" w:eastAsia="宋体"/>
      <w:b/>
      <w:bCs/>
      <w:kern w:val="0"/>
      <w:sz w:val="22"/>
    </w:rPr>
  </w:style>
  <w:style w:type="paragraph" w:customStyle="1" w:styleId="15">
    <w:name w:val="修订1"/>
    <w:autoRedefine/>
    <w:hidden/>
    <w:semiHidden/>
    <w:qFormat/>
    <w:uiPriority w:val="99"/>
    <w:rPr>
      <w:rFonts w:ascii="Times New Roman" w:hAnsi="Times New Roman" w:eastAsia="宋体" w:cstheme="minorBidi"/>
      <w:sz w:val="22"/>
      <w:szCs w:val="22"/>
      <w:lang w:val="en-US" w:eastAsia="zh-CN" w:bidi="ar-SA"/>
    </w:rPr>
  </w:style>
  <w:style w:type="paragraph" w:customStyle="1" w:styleId="16">
    <w:name w:val="修订2"/>
    <w:autoRedefine/>
    <w:hidden/>
    <w:unhideWhenUsed/>
    <w:qFormat/>
    <w:uiPriority w:val="99"/>
    <w:rPr>
      <w:rFonts w:ascii="Times New Roman" w:hAnsi="Times New Roman" w:eastAsia="宋体" w:cstheme="minorBidi"/>
      <w:sz w:val="22"/>
      <w:szCs w:val="22"/>
      <w:lang w:val="en-US" w:eastAsia="zh-CN" w:bidi="ar-SA"/>
    </w:rPr>
  </w:style>
  <w:style w:type="character" w:styleId="17">
    <w:name w:val="Placeholder Text"/>
    <w:basedOn w:val="8"/>
    <w:autoRedefine/>
    <w:unhideWhenUsed/>
    <w:qFormat/>
    <w:uiPriority w:val="99"/>
    <w:rPr>
      <w:color w:val="808080"/>
    </w:rPr>
  </w:style>
  <w:style w:type="paragraph" w:customStyle="1" w:styleId="18">
    <w:name w:val="Revision"/>
    <w:autoRedefine/>
    <w:hidden/>
    <w:semiHidden/>
    <w:qFormat/>
    <w:uiPriority w:val="99"/>
    <w:rPr>
      <w:rFonts w:ascii="Times New Roman" w:hAnsi="Times New Roman" w:eastAsia="宋体" w:cstheme="minorBidi"/>
      <w:sz w:val="22"/>
      <w:szCs w:val="22"/>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image" Target="media/image6.png"/><Relationship Id="rId8" Type="http://schemas.openxmlformats.org/officeDocument/2006/relationships/image" Target="media/image5.png"/><Relationship Id="rId7" Type="http://schemas.openxmlformats.org/officeDocument/2006/relationships/image" Target="media/image4.jpeg"/><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jpeg"/><Relationship Id="rId3" Type="http://schemas.openxmlformats.org/officeDocument/2006/relationships/theme" Target="theme/theme1.xml"/><Relationship Id="rId22" Type="http://schemas.openxmlformats.org/officeDocument/2006/relationships/fontTable" Target="fontTable.xml"/><Relationship Id="rId21" Type="http://schemas.openxmlformats.org/officeDocument/2006/relationships/customXml" Target="../customXml/item1.xml"/><Relationship Id="rId20" Type="http://schemas.openxmlformats.org/officeDocument/2006/relationships/image" Target="media/image17.jpeg"/><Relationship Id="rId2" Type="http://schemas.openxmlformats.org/officeDocument/2006/relationships/settings" Target="settings.xml"/><Relationship Id="rId19" Type="http://schemas.openxmlformats.org/officeDocument/2006/relationships/image" Target="media/image16.jpeg"/><Relationship Id="rId18" Type="http://schemas.openxmlformats.org/officeDocument/2006/relationships/image" Target="media/image15.jpeg"/><Relationship Id="rId17" Type="http://schemas.openxmlformats.org/officeDocument/2006/relationships/image" Target="media/image14.jpeg"/><Relationship Id="rId16" Type="http://schemas.openxmlformats.org/officeDocument/2006/relationships/image" Target="media/image13.jpeg"/><Relationship Id="rId15" Type="http://schemas.openxmlformats.org/officeDocument/2006/relationships/image" Target="media/image12.jpeg"/><Relationship Id="rId14" Type="http://schemas.openxmlformats.org/officeDocument/2006/relationships/image" Target="media/image11.png"/><Relationship Id="rId13" Type="http://schemas.openxmlformats.org/officeDocument/2006/relationships/image" Target="media/image10.png"/><Relationship Id="rId12" Type="http://schemas.openxmlformats.org/officeDocument/2006/relationships/image" Target="media/image9.png"/><Relationship Id="rId11" Type="http://schemas.openxmlformats.org/officeDocument/2006/relationships/image" Target="media/image8.png"/><Relationship Id="rId10" Type="http://schemas.openxmlformats.org/officeDocument/2006/relationships/image" Target="media/image7.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3BD7742-6927-4BBD-B7B0-1131303B928C}">
  <ds:schemaRefs/>
</ds:datastoreItem>
</file>

<file path=docProps/app.xml><?xml version="1.0" encoding="utf-8"?>
<Properties xmlns="http://schemas.openxmlformats.org/officeDocument/2006/extended-properties" xmlns:vt="http://schemas.openxmlformats.org/officeDocument/2006/docPropsVTypes">
  <Template>Normal</Template>
  <Pages>22</Pages>
  <Words>1527</Words>
  <Characters>8707</Characters>
  <Lines>72</Lines>
  <Paragraphs>20</Paragraphs>
  <TotalTime>1</TotalTime>
  <ScaleCrop>false</ScaleCrop>
  <LinksUpToDate>false</LinksUpToDate>
  <CharactersWithSpaces>10214</CharactersWithSpaces>
  <Application>WPS Office_12.1.0.16364_F1E327BC-269C-435d-A152-05C5408002CA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2023-10-30T07:17:00Z</dcterms:created>
  <dc:creator>Lily</dc:creator>
  <cp:lastModifiedBy>丽丽</cp:lastModifiedBy>
  <dcterms:modified xsi:type="dcterms:W3CDTF">2024-04-26T09:40:11Z</dcterms:modified>
  <cp:revision>159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2052-12.1.0.16364</vt:lpwstr>
  </property>
  <property fmtid="{D5CDD505-2E9C-101B-9397-08002B2CF9AE}" pid="3" name="ICV">
    <vt:lpwstr>00C199DE68FD478192E8BB538905D451_13</vt:lpwstr>
  </property>
</Properties>
</file>