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8FBE7" w14:textId="4964BF55" w:rsidR="007C6309" w:rsidRDefault="007C6309" w:rsidP="007C6309">
      <w:pPr>
        <w:rPr>
          <w:rFonts w:ascii="Times New Roman" w:hAnsi="Times New Roman" w:cs="Times New Roman"/>
          <w:b/>
          <w:bCs/>
          <w:sz w:val="32"/>
          <w:szCs w:val="32"/>
          <w:lang w:val="en-US"/>
        </w:rPr>
      </w:pPr>
      <w:r w:rsidRPr="007C6309">
        <w:rPr>
          <w:rFonts w:ascii="Times New Roman" w:hAnsi="Times New Roman" w:cs="Times New Roman"/>
          <w:b/>
          <w:bCs/>
          <w:sz w:val="32"/>
          <w:szCs w:val="32"/>
          <w:lang w:val="en-US"/>
        </w:rPr>
        <w:t>Supplementary Material</w:t>
      </w:r>
    </w:p>
    <w:p w14:paraId="390D07CE" w14:textId="43F14134" w:rsidR="007C6309" w:rsidRDefault="007C6309" w:rsidP="007C6309">
      <w:pPr>
        <w:rPr>
          <w:rFonts w:ascii="Times New Roman" w:hAnsi="Times New Roman" w:cs="Times New Roman"/>
          <w:b/>
          <w:bCs/>
          <w:sz w:val="32"/>
          <w:szCs w:val="32"/>
          <w:lang w:val="en-US"/>
        </w:rPr>
      </w:pPr>
    </w:p>
    <w:p w14:paraId="195F39CA" w14:textId="6F458A7D" w:rsidR="007C6309" w:rsidRPr="007C6309" w:rsidRDefault="007C6309" w:rsidP="007C6309">
      <w:pPr>
        <w:rPr>
          <w:rFonts w:ascii="Times New Roman" w:hAnsi="Times New Roman" w:cs="Times New Roman"/>
          <w:b/>
          <w:bCs/>
          <w:lang w:val="en-US"/>
        </w:rPr>
      </w:pPr>
      <w:r w:rsidRPr="007C6309">
        <w:rPr>
          <w:rFonts w:ascii="Times New Roman" w:hAnsi="Times New Roman" w:cs="Times New Roman"/>
          <w:b/>
          <w:bCs/>
          <w:lang w:val="en-US"/>
        </w:rPr>
        <w:t>Methods and Materials</w:t>
      </w:r>
    </w:p>
    <w:p w14:paraId="358CB142" w14:textId="77777777" w:rsidR="007C6309" w:rsidRDefault="007C6309">
      <w:pPr>
        <w:rPr>
          <w:rFonts w:ascii="Times New Roman" w:hAnsi="Times New Roman" w:cs="Times New Roman"/>
          <w:lang w:val="en-US"/>
        </w:rPr>
      </w:pPr>
    </w:p>
    <w:p w14:paraId="64D30149" w14:textId="77777777" w:rsidR="006F4598" w:rsidRPr="006F4598" w:rsidRDefault="006F4598" w:rsidP="006F4598">
      <w:pPr>
        <w:spacing w:line="360" w:lineRule="auto"/>
        <w:rPr>
          <w:rFonts w:ascii="Times New Roman" w:hAnsi="Times New Roman" w:cs="Times New Roman"/>
          <w:i/>
          <w:iCs/>
        </w:rPr>
      </w:pPr>
      <w:r w:rsidRPr="006F4598">
        <w:rPr>
          <w:rFonts w:ascii="Times New Roman" w:hAnsi="Times New Roman" w:cs="Times New Roman"/>
          <w:i/>
          <w:iCs/>
          <w:lang w:val="en-GB"/>
        </w:rPr>
        <w:t xml:space="preserve">Kynurenine, tryptophan, and serotonin quantification in </w:t>
      </w:r>
      <w:r w:rsidRPr="006F4598">
        <w:rPr>
          <w:rFonts w:ascii="Times New Roman" w:hAnsi="Times New Roman" w:cs="Times New Roman"/>
          <w:i/>
          <w:iCs/>
        </w:rPr>
        <w:t>plasma</w:t>
      </w:r>
    </w:p>
    <w:p w14:paraId="53126588" w14:textId="2D6E2BB6" w:rsidR="006F4598" w:rsidRDefault="006F4598" w:rsidP="006F4598">
      <w:pPr>
        <w:spacing w:line="360" w:lineRule="auto"/>
        <w:rPr>
          <w:rFonts w:ascii="Times New Roman" w:hAnsi="Times New Roman" w:cs="Times New Roman"/>
          <w:i/>
          <w:iCs/>
          <w:lang w:val="en-US"/>
        </w:rPr>
      </w:pPr>
    </w:p>
    <w:p w14:paraId="66475272" w14:textId="77777777" w:rsidR="00610322" w:rsidRPr="006F4598" w:rsidRDefault="00610322" w:rsidP="00610322">
      <w:pPr>
        <w:spacing w:line="360" w:lineRule="auto"/>
        <w:rPr>
          <w:rFonts w:ascii="Times New Roman" w:hAnsi="Times New Roman" w:cs="Times New Roman"/>
        </w:rPr>
      </w:pPr>
      <w:r w:rsidRPr="006F4598">
        <w:rPr>
          <w:rFonts w:ascii="Times New Roman" w:hAnsi="Times New Roman" w:cs="Times New Roman"/>
          <w:lang w:val="en-GB"/>
        </w:rPr>
        <w:t>Plasma levels of kynurenine</w:t>
      </w:r>
      <w:r>
        <w:rPr>
          <w:rFonts w:ascii="Times New Roman" w:hAnsi="Times New Roman" w:cs="Times New Roman"/>
          <w:lang w:val="en-GB"/>
        </w:rPr>
        <w:t xml:space="preserve"> (KYN)</w:t>
      </w:r>
      <w:r w:rsidRPr="006F4598">
        <w:rPr>
          <w:rFonts w:ascii="Times New Roman" w:hAnsi="Times New Roman" w:cs="Times New Roman"/>
          <w:lang w:val="en-GB"/>
        </w:rPr>
        <w:t>, tryptophan</w:t>
      </w:r>
      <w:r>
        <w:rPr>
          <w:rFonts w:ascii="Times New Roman" w:hAnsi="Times New Roman" w:cs="Times New Roman"/>
          <w:lang w:val="en-GB"/>
        </w:rPr>
        <w:t xml:space="preserve"> (TRP)</w:t>
      </w:r>
      <w:r w:rsidRPr="006F4598">
        <w:rPr>
          <w:rFonts w:ascii="Times New Roman" w:hAnsi="Times New Roman" w:cs="Times New Roman"/>
          <w:lang w:val="en-GB"/>
        </w:rPr>
        <w:t xml:space="preserve">, and serotonin </w:t>
      </w:r>
      <w:r>
        <w:rPr>
          <w:rFonts w:ascii="Times New Roman" w:hAnsi="Times New Roman" w:cs="Times New Roman"/>
          <w:lang w:val="en-GB"/>
        </w:rPr>
        <w:t xml:space="preserve">(5-HT) </w:t>
      </w:r>
      <w:r w:rsidRPr="006F4598">
        <w:rPr>
          <w:rFonts w:ascii="Times New Roman" w:hAnsi="Times New Roman" w:cs="Times New Roman"/>
          <w:lang w:val="en-GB"/>
        </w:rPr>
        <w:t xml:space="preserve">were measured using </w:t>
      </w:r>
      <w:r w:rsidRPr="006F4598">
        <w:rPr>
          <w:rFonts w:ascii="Times New Roman" w:hAnsi="Times New Roman" w:cs="Times New Roman"/>
        </w:rPr>
        <w:t>High-performance liquid chromatography </w:t>
      </w:r>
      <w:r w:rsidRPr="006F4598">
        <w:rPr>
          <w:rFonts w:ascii="Times New Roman" w:hAnsi="Times New Roman" w:cs="Times New Roman"/>
          <w:lang w:val="en-GB"/>
        </w:rPr>
        <w:t xml:space="preserve">(HPLC). </w:t>
      </w:r>
      <w:r>
        <w:rPr>
          <w:rFonts w:ascii="Times New Roman" w:hAnsi="Times New Roman" w:cs="Times New Roman"/>
          <w:lang w:val="en-GB"/>
        </w:rPr>
        <w:t>P</w:t>
      </w:r>
      <w:r w:rsidRPr="006F4598">
        <w:rPr>
          <w:rFonts w:ascii="Times New Roman" w:hAnsi="Times New Roman" w:cs="Times New Roman"/>
          <w:lang w:val="en-GB"/>
        </w:rPr>
        <w:t xml:space="preserve">lasma aliquots (100 </w:t>
      </w:r>
      <w:r w:rsidRPr="006F4598">
        <w:rPr>
          <w:rFonts w:ascii="Times New Roman" w:hAnsi="Times New Roman" w:cs="Times New Roman"/>
          <w:lang w:val="es-ES"/>
        </w:rPr>
        <w:t>μ</w:t>
      </w:r>
      <w:r w:rsidRPr="006F4598">
        <w:rPr>
          <w:rFonts w:ascii="Times New Roman" w:hAnsi="Times New Roman" w:cs="Times New Roman"/>
          <w:lang w:val="en-GB"/>
        </w:rPr>
        <w:t xml:space="preserve">l) were deproteinized by adding 25 </w:t>
      </w:r>
      <w:r w:rsidRPr="006F4598">
        <w:rPr>
          <w:rFonts w:ascii="Times New Roman" w:hAnsi="Times New Roman" w:cs="Times New Roman"/>
          <w:lang w:val="es-ES"/>
        </w:rPr>
        <w:t>μ</w:t>
      </w:r>
      <w:r w:rsidRPr="006F4598">
        <w:rPr>
          <w:rFonts w:ascii="Times New Roman" w:hAnsi="Times New Roman" w:cs="Times New Roman"/>
          <w:lang w:val="en-GB"/>
        </w:rPr>
        <w:t xml:space="preserve">l of 6% perchloric acid, and tyrosine (25 </w:t>
      </w:r>
      <w:r w:rsidRPr="006F4598">
        <w:rPr>
          <w:rFonts w:ascii="Times New Roman" w:hAnsi="Times New Roman" w:cs="Times New Roman"/>
          <w:lang w:val="es-ES"/>
        </w:rPr>
        <w:t>μ</w:t>
      </w:r>
      <w:r w:rsidRPr="006F4598">
        <w:rPr>
          <w:rFonts w:ascii="Times New Roman" w:hAnsi="Times New Roman" w:cs="Times New Roman"/>
          <w:lang w:val="en-GB"/>
        </w:rPr>
        <w:t xml:space="preserve">l of 50 </w:t>
      </w:r>
      <w:r w:rsidRPr="006F4598">
        <w:rPr>
          <w:rFonts w:ascii="Times New Roman" w:hAnsi="Times New Roman" w:cs="Times New Roman"/>
          <w:lang w:val="es-ES"/>
        </w:rPr>
        <w:t>μ</w:t>
      </w:r>
      <w:r w:rsidRPr="006F4598">
        <w:rPr>
          <w:rFonts w:ascii="Times New Roman" w:hAnsi="Times New Roman" w:cs="Times New Roman"/>
          <w:lang w:val="en-GB"/>
        </w:rPr>
        <w:t>M) was added as internal standard, to a final dilution of 1:5. The acidified samples were vortexed, incubated at room temperature (10 min), and centrifuged (15 min, 16,000×</w:t>
      </w:r>
      <w:r w:rsidRPr="006F4598">
        <w:rPr>
          <w:rFonts w:ascii="Times New Roman" w:hAnsi="Times New Roman" w:cs="Times New Roman"/>
          <w:i/>
          <w:iCs/>
          <w:lang w:val="en-GB"/>
        </w:rPr>
        <w:t xml:space="preserve">g, </w:t>
      </w:r>
      <w:r w:rsidRPr="006F4598">
        <w:rPr>
          <w:rFonts w:ascii="Times New Roman" w:hAnsi="Times New Roman" w:cs="Times New Roman"/>
          <w:lang w:val="en-GB"/>
        </w:rPr>
        <w:t xml:space="preserve">at 4 </w:t>
      </w:r>
      <w:r w:rsidRPr="006F4598">
        <w:rPr>
          <w:rFonts w:ascii="Times New Roman" w:hAnsi="Times New Roman" w:cs="Times New Roman"/>
          <w:lang w:val="en-GB"/>
        </w:rPr>
        <w:sym w:font="Symbol" w:char="F0B0"/>
      </w:r>
      <w:r w:rsidRPr="006F4598">
        <w:rPr>
          <w:rFonts w:ascii="Times New Roman" w:hAnsi="Times New Roman" w:cs="Times New Roman"/>
          <w:lang w:val="en-GB"/>
        </w:rPr>
        <w:t xml:space="preserve">C) to collect supernatants. After centrifugation, plasma supernatants were purified using 0.2 </w:t>
      </w:r>
      <w:r w:rsidRPr="006F4598">
        <w:rPr>
          <w:rFonts w:ascii="Times New Roman" w:hAnsi="Times New Roman" w:cs="Times New Roman"/>
          <w:lang w:val="es-ES"/>
        </w:rPr>
        <w:t>μ</w:t>
      </w:r>
      <w:r w:rsidRPr="006F4598">
        <w:rPr>
          <w:rFonts w:ascii="Times New Roman" w:hAnsi="Times New Roman" w:cs="Times New Roman"/>
          <w:lang w:val="en-GB"/>
        </w:rPr>
        <w:t>m filters (Minisart® RC 4, Sartorius, Thermo Fisher Scientific, MA, USA). For TRP and 5</w:t>
      </w:r>
      <w:r>
        <w:rPr>
          <w:rFonts w:ascii="Times New Roman" w:hAnsi="Times New Roman" w:cs="Times New Roman"/>
          <w:lang w:val="en-GB"/>
        </w:rPr>
        <w:t>-</w:t>
      </w:r>
      <w:r w:rsidRPr="006F4598">
        <w:rPr>
          <w:rFonts w:ascii="Times New Roman" w:hAnsi="Times New Roman" w:cs="Times New Roman"/>
          <w:lang w:val="en-GB"/>
        </w:rPr>
        <w:t xml:space="preserve">HT measurement, 20 </w:t>
      </w:r>
      <w:r w:rsidRPr="006F4598">
        <w:rPr>
          <w:rFonts w:ascii="Times New Roman" w:hAnsi="Times New Roman" w:cs="Times New Roman"/>
          <w:lang w:val="es-ES"/>
        </w:rPr>
        <w:t>μ</w:t>
      </w:r>
      <w:r w:rsidRPr="006F4598">
        <w:rPr>
          <w:rFonts w:ascii="Times New Roman" w:hAnsi="Times New Roman" w:cs="Times New Roman"/>
          <w:lang w:val="en-GB"/>
        </w:rPr>
        <w:t xml:space="preserve">l of the supernatant was applied to a reversed-phase column (Spherisorb ODS2; 5 </w:t>
      </w:r>
      <w:r w:rsidRPr="006F4598">
        <w:rPr>
          <w:rFonts w:ascii="Times New Roman" w:hAnsi="Times New Roman" w:cs="Times New Roman"/>
          <w:lang w:val="es-ES"/>
        </w:rPr>
        <w:t>μ</w:t>
      </w:r>
      <w:r w:rsidRPr="006F4598">
        <w:rPr>
          <w:rFonts w:ascii="Times New Roman" w:hAnsi="Times New Roman" w:cs="Times New Roman"/>
          <w:lang w:val="en-GB"/>
        </w:rPr>
        <w:t>m; 150 × 4.6 mm; Thermo Scientific, Massachusetts, USA), and TRP and 5</w:t>
      </w:r>
      <w:r>
        <w:rPr>
          <w:rFonts w:ascii="Times New Roman" w:hAnsi="Times New Roman" w:cs="Times New Roman"/>
          <w:lang w:val="en-GB"/>
        </w:rPr>
        <w:t>-</w:t>
      </w:r>
      <w:r w:rsidRPr="006F4598">
        <w:rPr>
          <w:rFonts w:ascii="Times New Roman" w:hAnsi="Times New Roman" w:cs="Times New Roman"/>
          <w:lang w:val="en-GB"/>
        </w:rPr>
        <w:t>HT were isocratically eluted using a mobile phase (0.1 M ammonium acetate and 8% methanol, pH 3.8), at a flow rate of 1 m</w:t>
      </w:r>
      <w:r>
        <w:rPr>
          <w:rFonts w:ascii="Times New Roman" w:hAnsi="Times New Roman" w:cs="Times New Roman"/>
          <w:lang w:val="en-GB"/>
        </w:rPr>
        <w:t>l</w:t>
      </w:r>
      <w:r w:rsidRPr="006F4598">
        <w:rPr>
          <w:rFonts w:ascii="Times New Roman" w:hAnsi="Times New Roman" w:cs="Times New Roman"/>
          <w:lang w:val="en-GB"/>
        </w:rPr>
        <w:t>/min. TRP and 5</w:t>
      </w:r>
      <w:r>
        <w:rPr>
          <w:rFonts w:ascii="Times New Roman" w:hAnsi="Times New Roman" w:cs="Times New Roman"/>
          <w:lang w:val="en-GB"/>
        </w:rPr>
        <w:t>-</w:t>
      </w:r>
      <w:r w:rsidRPr="006F4598">
        <w:rPr>
          <w:rFonts w:ascii="Times New Roman" w:hAnsi="Times New Roman" w:cs="Times New Roman"/>
          <w:lang w:val="en-GB"/>
        </w:rPr>
        <w:t xml:space="preserve">HT were detected fluorometrically at excitation/emission wavelengths of 270/360 nm and 290/398 nm, respectively (Waters 2475, Multi fluorescence Detector; Waters, Milford, MA, USA). For KYN measurement, 20 </w:t>
      </w:r>
      <w:r w:rsidRPr="006F4598">
        <w:rPr>
          <w:rFonts w:ascii="Times New Roman" w:hAnsi="Times New Roman" w:cs="Times New Roman"/>
          <w:lang w:val="es-ES"/>
        </w:rPr>
        <w:t>μ</w:t>
      </w:r>
      <w:r w:rsidRPr="006F4598">
        <w:rPr>
          <w:rFonts w:ascii="Times New Roman" w:hAnsi="Times New Roman" w:cs="Times New Roman"/>
          <w:lang w:val="en-GB"/>
        </w:rPr>
        <w:t>l of the supernatant was applied to the same column as above but separated using a mobile phase containing 0.1 M sodium acetate and 4% acetonitrile, pH 4.6, delivered at 1 ml/min. KYN was measured by UV detection (365 nm, Waters 2487). Retention times were approximately 7, 4.7, and 5 min for TRP, 5</w:t>
      </w:r>
      <w:r>
        <w:rPr>
          <w:rFonts w:ascii="Times New Roman" w:hAnsi="Times New Roman" w:cs="Times New Roman"/>
          <w:lang w:val="en-GB"/>
        </w:rPr>
        <w:t>-</w:t>
      </w:r>
      <w:r w:rsidRPr="006F4598">
        <w:rPr>
          <w:rFonts w:ascii="Times New Roman" w:hAnsi="Times New Roman" w:cs="Times New Roman"/>
          <w:lang w:val="en-GB"/>
        </w:rPr>
        <w:t>HT, and KYN respectively. The ratios of KYN or 5</w:t>
      </w:r>
      <w:r>
        <w:rPr>
          <w:rFonts w:ascii="Times New Roman" w:hAnsi="Times New Roman" w:cs="Times New Roman"/>
          <w:lang w:val="en-GB"/>
        </w:rPr>
        <w:t>-</w:t>
      </w:r>
      <w:r w:rsidRPr="006F4598">
        <w:rPr>
          <w:rFonts w:ascii="Times New Roman" w:hAnsi="Times New Roman" w:cs="Times New Roman"/>
          <w:lang w:val="en-GB"/>
        </w:rPr>
        <w:t>HT to TRP concentrations were calculated and used as a measure of TRP degradation.</w:t>
      </w:r>
    </w:p>
    <w:p w14:paraId="3E3FF54B" w14:textId="77777777" w:rsidR="006F4598" w:rsidRDefault="006F4598" w:rsidP="006F4598">
      <w:pPr>
        <w:spacing w:line="360" w:lineRule="auto"/>
        <w:rPr>
          <w:rFonts w:ascii="Times New Roman" w:hAnsi="Times New Roman" w:cs="Times New Roman"/>
          <w:i/>
          <w:iCs/>
          <w:lang w:val="en-US"/>
        </w:rPr>
      </w:pPr>
    </w:p>
    <w:p w14:paraId="42377874" w14:textId="51FBA6EF" w:rsidR="00822254" w:rsidRPr="0069236F" w:rsidRDefault="00822254" w:rsidP="006F4598">
      <w:pPr>
        <w:spacing w:line="360" w:lineRule="auto"/>
        <w:rPr>
          <w:rFonts w:ascii="Times New Roman" w:hAnsi="Times New Roman" w:cs="Times New Roman"/>
          <w:i/>
          <w:iCs/>
          <w:lang w:val="en-US"/>
        </w:rPr>
      </w:pPr>
      <w:r w:rsidRPr="0069236F">
        <w:rPr>
          <w:rFonts w:ascii="Times New Roman" w:hAnsi="Times New Roman" w:cs="Times New Roman"/>
          <w:i/>
          <w:iCs/>
          <w:lang w:val="en-US"/>
        </w:rPr>
        <w:t>Detailed library preparation and sequencing methodology</w:t>
      </w:r>
    </w:p>
    <w:p w14:paraId="52AE64F9" w14:textId="076496E0" w:rsidR="00822254" w:rsidRPr="003C3240" w:rsidRDefault="00822254" w:rsidP="006F4598">
      <w:pPr>
        <w:spacing w:line="360" w:lineRule="auto"/>
        <w:rPr>
          <w:rFonts w:ascii="Times New Roman" w:hAnsi="Times New Roman" w:cs="Times New Roman"/>
          <w:lang w:val="en-US"/>
        </w:rPr>
      </w:pPr>
    </w:p>
    <w:p w14:paraId="55E57EAF" w14:textId="77777777" w:rsidR="00822254" w:rsidRPr="003C3240" w:rsidRDefault="00822254" w:rsidP="006F4598">
      <w:pPr>
        <w:spacing w:line="360" w:lineRule="auto"/>
        <w:jc w:val="both"/>
        <w:rPr>
          <w:rFonts w:ascii="Times New Roman" w:hAnsi="Times New Roman" w:cs="Times New Roman"/>
          <w:lang w:val="en-US"/>
        </w:rPr>
      </w:pPr>
      <w:r w:rsidRPr="003C3240">
        <w:rPr>
          <w:rFonts w:ascii="Times New Roman" w:hAnsi="Times New Roman" w:cs="Times New Roman"/>
          <w:lang w:val="en-US"/>
        </w:rPr>
        <w:t xml:space="preserve">Two serial dilutions of DNA samples were used for quality control purposes. Genomic DNA was quantified using SYBRGreen I (Sigma-Aldrich, Merck), and the total bacterial load was estimated for each sample by real-time PCR assay </w:t>
      </w:r>
      <w:r w:rsidRPr="003C3240">
        <w:rPr>
          <w:rFonts w:ascii="Times New Roman" w:hAnsi="Times New Roman" w:cs="Times New Roman"/>
          <w:lang w:val="en-US"/>
        </w:rPr>
        <w:fldChar w:fldCharType="begin"/>
      </w:r>
      <w:r w:rsidRPr="003C3240">
        <w:rPr>
          <w:rFonts w:ascii="Times New Roman" w:hAnsi="Times New Roman" w:cs="Times New Roman"/>
          <w:lang w:val="en-US"/>
        </w:rPr>
        <w:instrText xml:space="preserve"> ADDIN ZOTERO_ITEM CSL_CITATION {"citationID":"QlQ4x5dg","properties":{"formattedCitation":"(47)","plainCitation":"(47)","noteIndex":0},"citationItems":[{"id":8512,"uris":["http://zotero.org/users/2985358/items/XUHU76U3"],"itemData":{"id":8512,"type":"article-journal","abstract":"The design and evaluation of a set of universal primers and probe for the amplification of 16S rDNA from the Domain Bacteria to estimate total bacterial load by real-time PCR is reported. Broad specificity of the universal detection system was confirmed by testing DNA isolated from 34 bacterial species encompassing most of the groups of bacteria outlined in Bergey's Manual of Determinative Bacteriology. However, the nature of the chromosomal DNA used as a standard was critical. A DNA standard representing those bacteria most likely to predominate in a given habitat was important for a more accurate determination of total bacterial load due to variations in 16S rDNA copy number and the effect of generation time of the bacteria on this number, since rapid growth could result in multiple replication forks and hence, in effect, more than one copy of portions of the chromosome. The validity of applying these caveats to estimating bacterial load was confirmed by enumerating the number of bacteria in an artificial sample mixed in vitro and in clinical carious dentine samples. Taking these parameters into account, the number of anaerobic bacteria estimated by the universal probe and primers set in carious dentine was 40-fold greater than the total bacterial load detected by culture methods, demonstrating the utility of real-time PCR in the analysis of this environment.","container-title":"Microbiology (Reading, England)","DOI":"10.1099/00221287-148-1-257","ISSN":"1350-0872","issue":"Pt 1","journalAbbreviation":"Microbiology (Reading)","language":"eng","note":"PMID: 11782518","page":"257-266","source":"PubMed","title":"Determination of bacterial load by real-time PCR using a broad-range (universal) probe and primers set","volume":"148","author":[{"family":"Nadkarni","given":"Mangala A."},{"family":"Martin","given":"F. Elizabeth"},{"family":"Jacques","given":"Nicholas A."},{"family":"Hunter","given":"Neil"}],"issued":{"date-parts":[["2002",1]]}}}],"schema":"https://github.com/citation-style-language/schema/raw/master/csl-citation.json"} </w:instrText>
      </w:r>
      <w:r w:rsidRPr="003C3240">
        <w:rPr>
          <w:rFonts w:ascii="Times New Roman" w:hAnsi="Times New Roman" w:cs="Times New Roman"/>
          <w:lang w:val="en-US"/>
        </w:rPr>
        <w:fldChar w:fldCharType="separate"/>
      </w:r>
      <w:r w:rsidRPr="003C3240">
        <w:rPr>
          <w:rFonts w:ascii="Times New Roman" w:hAnsi="Times New Roman" w:cs="Times New Roman"/>
          <w:b/>
          <w:bCs/>
          <w:i/>
          <w:iCs/>
          <w:lang w:val="en-GB"/>
        </w:rPr>
        <w:t>(47)</w:t>
      </w:r>
      <w:r w:rsidRPr="003C3240">
        <w:rPr>
          <w:rFonts w:ascii="Times New Roman" w:hAnsi="Times New Roman" w:cs="Times New Roman"/>
          <w:lang w:val="en-US"/>
        </w:rPr>
        <w:fldChar w:fldCharType="end"/>
      </w:r>
      <w:r w:rsidRPr="003C3240">
        <w:rPr>
          <w:rFonts w:ascii="Times New Roman" w:hAnsi="Times New Roman" w:cs="Times New Roman"/>
          <w:lang w:val="en-US"/>
        </w:rPr>
        <w:t xml:space="preserve"> (7900 HT Fast Real-Time PCR System, Applied Biosystems) for normalization of bacterial load before library preparation. The 16S rRNA V3-V4 region was amplified using universal primers in a limited cycle PCR: V3-V4-Forward (5′-TCGTCGGCAGCGTCAGATGTGTATAAGAGACAGCCTACGGGNGGCWGCAG-3′) V3-V4-Reverse (5′-GTCTCGTGGGCTCGGAGATGTGTATAAGAGACAGGACTACHVGGGTATCTAATC</w:t>
      </w:r>
      <w:r w:rsidRPr="003C3240">
        <w:rPr>
          <w:rFonts w:ascii="Times New Roman" w:hAnsi="Times New Roman" w:cs="Times New Roman"/>
          <w:lang w:val="en-US"/>
        </w:rPr>
        <w:lastRenderedPageBreak/>
        <w:t xml:space="preserve">C-3′), as described by Willis and colleagues </w:t>
      </w:r>
      <w:r w:rsidRPr="003C3240">
        <w:rPr>
          <w:rFonts w:ascii="Times New Roman" w:hAnsi="Times New Roman" w:cs="Times New Roman"/>
          <w:lang w:val="en-US"/>
        </w:rPr>
        <w:fldChar w:fldCharType="begin"/>
      </w:r>
      <w:r w:rsidRPr="003C3240">
        <w:rPr>
          <w:rFonts w:ascii="Times New Roman" w:hAnsi="Times New Roman" w:cs="Times New Roman"/>
          <w:lang w:val="en-US"/>
        </w:rPr>
        <w:instrText xml:space="preserve"> ADDIN ZOTERO_ITEM CSL_CITATION {"citationID":"gXYVQUN2","properties":{"formattedCitation":"(48)","plainCitation":"(48)","noteIndex":0},"citationItems":[{"id":8502,"uris":["http://zotero.org/users/2985358/items/Q33WI6ZP"],"itemData":{"id":8502,"type":"article-journal","abstract":"The oral cavity comprises a rich and diverse microbiome, which plays important roles in health and disease. Previous studies have mostly focused on adult populations or in very young children, whereas the adolescent oral microbiome remains poorly studied. Here, we used a citizen science approach and 16S profiling to assess the oral microbiome of 1500 adolescents around Spain and its relationships with lifestyle, diet, hygiene, and socioeconomic and environmental parameters.","container-title":"Microbiome","DOI":"10.1186/s40168-018-0592-3","ISSN":"2049-2618","issue":"1","journalAbbreviation":"Microbiome","page":"218","source":"BioMed Central","title":"Citizen science charts two major “stomatotypes” in the oral microbiome of adolescents and reveals links with habits and drinking water composition","volume":"6","author":[{"family":"Willis","given":"Jesse R."},{"family":"González-Torres","given":"Pedro"},{"family":"Pittis","given":"Alexandros A."},{"family":"Bejarano","given":"Luis A."},{"family":"Cozzuto","given":"Luca"},{"family":"Andreu-Somavilla","given":"Nuria"},{"family":"Alloza-Trabado","given":"Miriam"},{"family":"Valentín","given":"Antonia"},{"family":"Ksiezopolska","given":"Ewa"},{"family":"Company","given":"Carlos"},{"family":"Onywera","given":"Harris"},{"family":"Montfort","given":"Magda"},{"family":"Hermoso","given":"Antonio"},{"family":"Iraola-Guzmán","given":"Susana"},{"family":"Saus","given":"Ester"},{"family":"Labeeuw","given":"Annick"},{"family":"Carolis","given":"Carlo"},{"family":"Hecht","given":"Jochen"},{"family":"Ponomarenko","given":"Julia"},{"family":"Gabaldón","given":"Toni"}],"issued":{"date-parts":[["2018",12,6]]}}}],"schema":"https://github.com/citation-style-language/schema/raw/master/csl-citation.json"} </w:instrText>
      </w:r>
      <w:r w:rsidRPr="003C3240">
        <w:rPr>
          <w:rFonts w:ascii="Times New Roman" w:hAnsi="Times New Roman" w:cs="Times New Roman"/>
          <w:lang w:val="en-US"/>
        </w:rPr>
        <w:fldChar w:fldCharType="separate"/>
      </w:r>
      <w:r w:rsidRPr="003C3240">
        <w:rPr>
          <w:rFonts w:ascii="Times New Roman" w:hAnsi="Times New Roman" w:cs="Times New Roman"/>
          <w:b/>
          <w:bCs/>
          <w:i/>
          <w:iCs/>
          <w:lang w:val="en-GB"/>
        </w:rPr>
        <w:t>(48)</w:t>
      </w:r>
      <w:r w:rsidRPr="003C3240">
        <w:rPr>
          <w:rFonts w:ascii="Times New Roman" w:hAnsi="Times New Roman" w:cs="Times New Roman"/>
          <w:lang w:val="en-US"/>
        </w:rPr>
        <w:fldChar w:fldCharType="end"/>
      </w:r>
      <w:r w:rsidRPr="003C3240">
        <w:rPr>
          <w:rFonts w:ascii="Times New Roman" w:hAnsi="Times New Roman" w:cs="Times New Roman"/>
          <w:lang w:val="en-US"/>
        </w:rPr>
        <w:t xml:space="preserve">, with slight modifications. To prevent unbalanced base composition in the final sequencing phase, various numbers of "N" bases (between 1 and 4) were added as spacers to both forward and reverse primers (a total of 4 forward and 4 reverse primers were used). First, normalized DNA samples were used to amplify the V3-V4 regions of 16S ribosomal RNA gene, in a limited cycle PCR. The PCR was performed in 25 µl volume with 0.08 µM primer concentration and NEBNext Q5 Hot Start HiFi PCR Master Mix (M0543L, New England Biolabs), with cycling conditions: initial denaturation of 30 s at 98 °C, 5 cycles of 98 °C for 10 s, 55 °C for 5 min, and 65 °C for 45 s. </w:t>
      </w:r>
    </w:p>
    <w:p w14:paraId="6039D597" w14:textId="32E0198D" w:rsidR="00822254" w:rsidRDefault="00822254" w:rsidP="00822254">
      <w:pPr>
        <w:spacing w:line="360" w:lineRule="auto"/>
        <w:jc w:val="both"/>
        <w:rPr>
          <w:rFonts w:ascii="Times New Roman" w:hAnsi="Times New Roman" w:cs="Times New Roman"/>
          <w:lang w:val="en-US"/>
        </w:rPr>
      </w:pPr>
      <w:r w:rsidRPr="003C3240">
        <w:rPr>
          <w:rFonts w:ascii="Times New Roman" w:hAnsi="Times New Roman" w:cs="Times New Roman"/>
          <w:lang w:val="en-US"/>
        </w:rPr>
        <w:t xml:space="preserve">This was followed by a second PCR to add full-length Nextera adapters; the PCR reactions consisted of NEBNext Q5 Hot Start HiFi PCR Master Mix and UDI-Nextera primers (IDT), with the following cycling conditions: denaturation of 30 s at 98 °C, 17 cycles of 98 °C for 10 s, 55 °C for 30 s, and 65 °C for 45 s, and 5 min at 65 °C. Libraries were purified using AgenCourt AMPure XP beads (A63882, Beckman Coulter) with a 0.8X ratio according to the manufacturer's instructions and analyzed using Fragment Analyzer (DNF-915, Agilent Biosystems) to estimate the quantity and determine the size distribution. A pool of normalized libraries, quantified by qPCR using KAPA Library Quantification Kit KK4835 (07960204001, Roche) on a 7900 HT Fast Real-Time PCR System, was prepared for subsequent sequencing. Sequencing was performed on Illumina's NextSeq2000 on a P1 flow cell with 2 x 300 bp reads (loading concentration of 900 pM). To increase the diversity of the sequences, 40% of PhIX control library was added. Negative (NTC as well as a negative extraction control) and positive (ZymoBIOMICS(TM) Microbial Community DNA Standard; D6306, Zymo) controls were included with the samples, and the PCR amplification steps were performed in parallel, using the same conditions and reagents. </w:t>
      </w:r>
    </w:p>
    <w:p w14:paraId="5A40F4B7" w14:textId="08F8EDB2" w:rsidR="00C93F08" w:rsidRDefault="00C93F08" w:rsidP="00822254">
      <w:pPr>
        <w:spacing w:line="360" w:lineRule="auto"/>
        <w:jc w:val="both"/>
        <w:rPr>
          <w:rFonts w:ascii="Times New Roman" w:hAnsi="Times New Roman" w:cs="Times New Roman"/>
          <w:lang w:val="en-US"/>
        </w:rPr>
      </w:pPr>
    </w:p>
    <w:p w14:paraId="50C377A4" w14:textId="75D1AE55" w:rsidR="00C93F08" w:rsidRDefault="00C93F08" w:rsidP="00822254">
      <w:pPr>
        <w:spacing w:line="360" w:lineRule="auto"/>
        <w:jc w:val="both"/>
        <w:rPr>
          <w:rFonts w:ascii="Times New Roman" w:hAnsi="Times New Roman" w:cs="Times New Roman"/>
          <w:lang w:val="en-US"/>
        </w:rPr>
      </w:pPr>
    </w:p>
    <w:p w14:paraId="0819F854" w14:textId="67587552" w:rsidR="00C93F08" w:rsidRDefault="00C93F08" w:rsidP="00822254">
      <w:pPr>
        <w:spacing w:line="360" w:lineRule="auto"/>
        <w:jc w:val="both"/>
        <w:rPr>
          <w:rFonts w:ascii="Times New Roman" w:hAnsi="Times New Roman" w:cs="Times New Roman"/>
          <w:lang w:val="en-US"/>
        </w:rPr>
      </w:pPr>
    </w:p>
    <w:p w14:paraId="4799BD94" w14:textId="700ABB18" w:rsidR="00C93F08" w:rsidRDefault="00C93F08" w:rsidP="00822254">
      <w:pPr>
        <w:spacing w:line="360" w:lineRule="auto"/>
        <w:jc w:val="both"/>
        <w:rPr>
          <w:rFonts w:ascii="Times New Roman" w:hAnsi="Times New Roman" w:cs="Times New Roman"/>
          <w:lang w:val="en-US"/>
        </w:rPr>
      </w:pPr>
    </w:p>
    <w:p w14:paraId="66B869DF" w14:textId="4BC28E6A" w:rsidR="00C93F08" w:rsidRDefault="00C93F08" w:rsidP="00822254">
      <w:pPr>
        <w:spacing w:line="360" w:lineRule="auto"/>
        <w:jc w:val="both"/>
        <w:rPr>
          <w:rFonts w:ascii="Times New Roman" w:hAnsi="Times New Roman" w:cs="Times New Roman"/>
          <w:lang w:val="en-US"/>
        </w:rPr>
      </w:pPr>
    </w:p>
    <w:p w14:paraId="01DE62C3" w14:textId="4B7F75AE" w:rsidR="00C93F08" w:rsidRDefault="00C93F08" w:rsidP="00822254">
      <w:pPr>
        <w:spacing w:line="360" w:lineRule="auto"/>
        <w:jc w:val="both"/>
        <w:rPr>
          <w:rFonts w:ascii="Times New Roman" w:hAnsi="Times New Roman" w:cs="Times New Roman"/>
          <w:lang w:val="en-US"/>
        </w:rPr>
      </w:pPr>
    </w:p>
    <w:p w14:paraId="73D27FCF" w14:textId="6D7E12BF" w:rsidR="00C93F08" w:rsidRDefault="00C93F08" w:rsidP="00822254">
      <w:pPr>
        <w:spacing w:line="360" w:lineRule="auto"/>
        <w:jc w:val="both"/>
        <w:rPr>
          <w:rFonts w:ascii="Times New Roman" w:hAnsi="Times New Roman" w:cs="Times New Roman"/>
          <w:lang w:val="en-US"/>
        </w:rPr>
      </w:pPr>
    </w:p>
    <w:p w14:paraId="18A20E9E" w14:textId="77777777" w:rsidR="00C93F08" w:rsidRPr="003C3240" w:rsidRDefault="00C93F08" w:rsidP="00822254">
      <w:pPr>
        <w:spacing w:line="360" w:lineRule="auto"/>
        <w:jc w:val="both"/>
        <w:rPr>
          <w:rFonts w:ascii="Times New Roman" w:hAnsi="Times New Roman" w:cs="Times New Roman"/>
          <w:lang w:val="en-US"/>
        </w:rPr>
      </w:pPr>
    </w:p>
    <w:p w14:paraId="25C3EFC7" w14:textId="147C1ADA" w:rsidR="00822254" w:rsidRDefault="00822254" w:rsidP="00822254">
      <w:pPr>
        <w:spacing w:line="360" w:lineRule="auto"/>
        <w:jc w:val="both"/>
        <w:rPr>
          <w:rFonts w:ascii="Times New Roman" w:hAnsi="Times New Roman" w:cs="Times New Roman"/>
          <w:bCs/>
          <w:lang w:val="en-US"/>
        </w:rPr>
      </w:pPr>
    </w:p>
    <w:p w14:paraId="781ED34A" w14:textId="519CC3A1" w:rsidR="004052F0" w:rsidRDefault="004052F0" w:rsidP="00822254">
      <w:pPr>
        <w:spacing w:line="360" w:lineRule="auto"/>
        <w:jc w:val="both"/>
        <w:rPr>
          <w:rFonts w:ascii="Times New Roman" w:hAnsi="Times New Roman" w:cs="Times New Roman"/>
          <w:bCs/>
          <w:lang w:val="en-US"/>
        </w:rPr>
      </w:pPr>
    </w:p>
    <w:p w14:paraId="0609DA2C" w14:textId="430385ED" w:rsidR="004052F0" w:rsidRDefault="004052F0" w:rsidP="00822254">
      <w:pPr>
        <w:spacing w:line="360" w:lineRule="auto"/>
        <w:jc w:val="both"/>
        <w:rPr>
          <w:rFonts w:ascii="Times New Roman" w:hAnsi="Times New Roman" w:cs="Times New Roman"/>
          <w:bCs/>
          <w:lang w:val="en-US"/>
        </w:rPr>
      </w:pPr>
    </w:p>
    <w:p w14:paraId="7935BAEC" w14:textId="77777777" w:rsidR="004052F0" w:rsidRPr="003C3240" w:rsidRDefault="004052F0" w:rsidP="00822254">
      <w:pPr>
        <w:spacing w:line="360" w:lineRule="auto"/>
        <w:jc w:val="both"/>
        <w:rPr>
          <w:rFonts w:ascii="Times New Roman" w:hAnsi="Times New Roman" w:cs="Times New Roman"/>
          <w:bCs/>
          <w:lang w:val="en-US"/>
        </w:rPr>
      </w:pPr>
    </w:p>
    <w:p w14:paraId="0A61AE04" w14:textId="1CEF94D0" w:rsidR="00FB554B" w:rsidRPr="008004E7" w:rsidRDefault="008004E7">
      <w:pPr>
        <w:rPr>
          <w:rFonts w:ascii="Times New Roman" w:hAnsi="Times New Roman" w:cs="Times New Roman"/>
          <w:b/>
          <w:bCs/>
          <w:lang w:val="en-US"/>
        </w:rPr>
      </w:pPr>
      <w:r w:rsidRPr="008004E7">
        <w:rPr>
          <w:rFonts w:ascii="Times New Roman" w:hAnsi="Times New Roman" w:cs="Times New Roman"/>
          <w:b/>
          <w:bCs/>
          <w:lang w:val="en-US"/>
        </w:rPr>
        <w:lastRenderedPageBreak/>
        <w:t>Results</w:t>
      </w:r>
    </w:p>
    <w:p w14:paraId="2E2C9E8C" w14:textId="77777777" w:rsidR="008004E7" w:rsidRPr="003C3240" w:rsidRDefault="008004E7">
      <w:pPr>
        <w:rPr>
          <w:rFonts w:ascii="Times New Roman" w:hAnsi="Times New Roman" w:cs="Times New Roman"/>
          <w:lang w:val="en-US"/>
        </w:rPr>
      </w:pPr>
    </w:p>
    <w:p w14:paraId="5236497C" w14:textId="2BB53B9D" w:rsidR="00FB554B" w:rsidRPr="003C3240" w:rsidRDefault="00FB554B" w:rsidP="00FB554B">
      <w:pPr>
        <w:rPr>
          <w:rFonts w:ascii="Times New Roman" w:hAnsi="Times New Roman" w:cs="Times New Roman"/>
          <w:lang w:val="en-US"/>
        </w:rPr>
      </w:pPr>
      <w:r w:rsidRPr="00960A28">
        <w:rPr>
          <w:rFonts w:ascii="Times New Roman" w:hAnsi="Times New Roman" w:cs="Times New Roman"/>
          <w:b/>
          <w:bCs/>
          <w:lang w:val="en-US"/>
        </w:rPr>
        <w:t xml:space="preserve">Supplementary Table </w:t>
      </w:r>
      <w:r w:rsidR="00FD35BE">
        <w:rPr>
          <w:rFonts w:ascii="Times New Roman" w:hAnsi="Times New Roman" w:cs="Times New Roman"/>
          <w:b/>
          <w:bCs/>
          <w:lang w:val="en-US"/>
        </w:rPr>
        <w:t>2</w:t>
      </w:r>
      <w:r w:rsidRPr="00960A28">
        <w:rPr>
          <w:rFonts w:ascii="Times New Roman" w:hAnsi="Times New Roman" w:cs="Times New Roman"/>
          <w:b/>
          <w:bCs/>
          <w:lang w:val="en-US"/>
        </w:rPr>
        <w:t>:</w:t>
      </w:r>
      <w:r w:rsidRPr="003C3240">
        <w:rPr>
          <w:rFonts w:ascii="Times New Roman" w:hAnsi="Times New Roman" w:cs="Times New Roman"/>
          <w:bCs/>
          <w:lang w:val="en-US"/>
        </w:rPr>
        <w:t xml:space="preserve"> Relationship between </w:t>
      </w:r>
      <w:r w:rsidR="00FD35BE">
        <w:rPr>
          <w:rFonts w:ascii="Times New Roman" w:hAnsi="Times New Roman" w:cs="Times New Roman"/>
          <w:bCs/>
          <w:lang w:val="en-US"/>
        </w:rPr>
        <w:t>periodontal</w:t>
      </w:r>
      <w:r w:rsidRPr="003C3240">
        <w:rPr>
          <w:rFonts w:ascii="Times New Roman" w:hAnsi="Times New Roman" w:cs="Times New Roman"/>
          <w:bCs/>
          <w:lang w:val="en-US"/>
        </w:rPr>
        <w:t xml:space="preserve"> outcomes and oral taxa (</w:t>
      </w:r>
      <w:r w:rsidRPr="003C3240">
        <w:rPr>
          <w:rFonts w:ascii="Times New Roman" w:hAnsi="Times New Roman" w:cs="Times New Roman"/>
          <w:bCs/>
          <w:i/>
          <w:iCs/>
          <w:lang w:val="en-US"/>
        </w:rPr>
        <w:t>n</w:t>
      </w:r>
      <w:r w:rsidRPr="003C3240">
        <w:rPr>
          <w:rFonts w:ascii="Times New Roman" w:hAnsi="Times New Roman" w:cs="Times New Roman"/>
          <w:bCs/>
          <w:lang w:val="en-US"/>
        </w:rPr>
        <w:t xml:space="preserve"> = 196), as determined by generalized linear model results. </w:t>
      </w:r>
    </w:p>
    <w:tbl>
      <w:tblPr>
        <w:tblW w:w="9776" w:type="dxa"/>
        <w:tblLook w:val="04A0" w:firstRow="1" w:lastRow="0" w:firstColumn="1" w:lastColumn="0" w:noHBand="0" w:noVBand="1"/>
      </w:tblPr>
      <w:tblGrid>
        <w:gridCol w:w="1560"/>
        <w:gridCol w:w="3397"/>
        <w:gridCol w:w="1984"/>
        <w:gridCol w:w="1276"/>
        <w:gridCol w:w="1559"/>
      </w:tblGrid>
      <w:tr w:rsidR="00FB554B" w:rsidRPr="003C3240" w14:paraId="0E16ABD3" w14:textId="77777777" w:rsidTr="006C059E">
        <w:trPr>
          <w:trHeight w:val="700"/>
        </w:trPr>
        <w:tc>
          <w:tcPr>
            <w:tcW w:w="1560" w:type="dxa"/>
            <w:vMerge w:val="restart"/>
            <w:tcBorders>
              <w:top w:val="single" w:sz="4" w:space="0" w:color="000000"/>
              <w:left w:val="single" w:sz="4" w:space="0" w:color="auto"/>
              <w:bottom w:val="single" w:sz="4" w:space="0" w:color="auto"/>
              <w:right w:val="single" w:sz="4" w:space="0" w:color="auto"/>
            </w:tcBorders>
            <w:shd w:val="clear" w:color="auto" w:fill="auto"/>
            <w:noWrap/>
            <w:vAlign w:val="center"/>
            <w:hideMark/>
          </w:tcPr>
          <w:p w14:paraId="07AE0293"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Periodontitis (current diagnosis)</w:t>
            </w:r>
          </w:p>
        </w:tc>
        <w:tc>
          <w:tcPr>
            <w:tcW w:w="3397" w:type="dxa"/>
            <w:tcBorders>
              <w:top w:val="single" w:sz="4" w:space="0" w:color="000000"/>
              <w:left w:val="nil"/>
              <w:bottom w:val="single" w:sz="8" w:space="0" w:color="auto"/>
              <w:right w:val="nil"/>
            </w:tcBorders>
            <w:shd w:val="clear" w:color="auto" w:fill="auto"/>
            <w:noWrap/>
            <w:vAlign w:val="bottom"/>
            <w:hideMark/>
          </w:tcPr>
          <w:p w14:paraId="39A583CA" w14:textId="77777777" w:rsidR="00FB554B" w:rsidRPr="003C3240" w:rsidRDefault="00FB554B" w:rsidP="006C059E">
            <w:pPr>
              <w:rPr>
                <w:rFonts w:ascii="Times New Roman" w:hAnsi="Times New Roman" w:cs="Times New Roman"/>
                <w:b/>
                <w:bCs/>
                <w:color w:val="000000"/>
              </w:rPr>
            </w:pPr>
            <w:r w:rsidRPr="003C3240">
              <w:rPr>
                <w:rFonts w:ascii="Times New Roman" w:hAnsi="Times New Roman" w:cs="Times New Roman"/>
                <w:b/>
                <w:bCs/>
                <w:color w:val="000000"/>
              </w:rPr>
              <w:t>Oral taxa</w:t>
            </w:r>
          </w:p>
        </w:tc>
        <w:tc>
          <w:tcPr>
            <w:tcW w:w="1984" w:type="dxa"/>
            <w:tcBorders>
              <w:top w:val="single" w:sz="4" w:space="0" w:color="000000"/>
              <w:left w:val="nil"/>
              <w:bottom w:val="single" w:sz="8" w:space="0" w:color="auto"/>
              <w:right w:val="nil"/>
            </w:tcBorders>
            <w:shd w:val="clear" w:color="auto" w:fill="auto"/>
            <w:noWrap/>
            <w:vAlign w:val="bottom"/>
            <w:hideMark/>
          </w:tcPr>
          <w:p w14:paraId="1DBDB3AD"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Estimate</w:t>
            </w:r>
          </w:p>
        </w:tc>
        <w:tc>
          <w:tcPr>
            <w:tcW w:w="1276" w:type="dxa"/>
            <w:tcBorders>
              <w:top w:val="single" w:sz="4" w:space="0" w:color="000000"/>
              <w:left w:val="nil"/>
              <w:bottom w:val="single" w:sz="8" w:space="0" w:color="auto"/>
              <w:right w:val="nil"/>
            </w:tcBorders>
            <w:shd w:val="clear" w:color="auto" w:fill="auto"/>
            <w:noWrap/>
            <w:vAlign w:val="bottom"/>
            <w:hideMark/>
          </w:tcPr>
          <w:p w14:paraId="11A2BEC7"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Std. Error</w:t>
            </w:r>
          </w:p>
        </w:tc>
        <w:tc>
          <w:tcPr>
            <w:tcW w:w="1559" w:type="dxa"/>
            <w:tcBorders>
              <w:top w:val="single" w:sz="4" w:space="0" w:color="000000"/>
              <w:left w:val="nil"/>
              <w:bottom w:val="single" w:sz="8" w:space="0" w:color="auto"/>
              <w:right w:val="single" w:sz="4" w:space="0" w:color="000000"/>
            </w:tcBorders>
            <w:shd w:val="clear" w:color="auto" w:fill="auto"/>
            <w:vAlign w:val="bottom"/>
            <w:hideMark/>
          </w:tcPr>
          <w:p w14:paraId="2B7DA459"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q-value (fdr corrected)</w:t>
            </w:r>
          </w:p>
        </w:tc>
      </w:tr>
      <w:tr w:rsidR="00FB554B" w:rsidRPr="003C3240" w14:paraId="333D481B"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6CA67B1"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6DF8A0F4"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Haemophilus parainfluenzae</w:t>
            </w:r>
          </w:p>
        </w:tc>
        <w:tc>
          <w:tcPr>
            <w:tcW w:w="1984" w:type="dxa"/>
            <w:tcBorders>
              <w:top w:val="nil"/>
              <w:left w:val="nil"/>
              <w:bottom w:val="nil"/>
              <w:right w:val="nil"/>
            </w:tcBorders>
            <w:shd w:val="clear" w:color="auto" w:fill="auto"/>
            <w:noWrap/>
            <w:vAlign w:val="bottom"/>
            <w:hideMark/>
          </w:tcPr>
          <w:p w14:paraId="76439E8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-0.81</w:t>
            </w:r>
          </w:p>
        </w:tc>
        <w:tc>
          <w:tcPr>
            <w:tcW w:w="1276" w:type="dxa"/>
            <w:tcBorders>
              <w:top w:val="nil"/>
              <w:left w:val="nil"/>
              <w:bottom w:val="nil"/>
              <w:right w:val="nil"/>
            </w:tcBorders>
            <w:shd w:val="clear" w:color="auto" w:fill="auto"/>
            <w:noWrap/>
            <w:vAlign w:val="bottom"/>
            <w:hideMark/>
          </w:tcPr>
          <w:p w14:paraId="1B26BFC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0.25</w:t>
            </w:r>
          </w:p>
        </w:tc>
        <w:tc>
          <w:tcPr>
            <w:tcW w:w="1559" w:type="dxa"/>
            <w:tcBorders>
              <w:top w:val="nil"/>
              <w:left w:val="nil"/>
              <w:bottom w:val="nil"/>
              <w:right w:val="single" w:sz="4" w:space="0" w:color="000000"/>
            </w:tcBorders>
            <w:shd w:val="clear" w:color="auto" w:fill="auto"/>
            <w:noWrap/>
            <w:vAlign w:val="bottom"/>
            <w:hideMark/>
          </w:tcPr>
          <w:p w14:paraId="3897D11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0.04</w:t>
            </w:r>
          </w:p>
        </w:tc>
      </w:tr>
      <w:tr w:rsidR="00FB554B" w:rsidRPr="003C3240" w14:paraId="27619CDE"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51040B19"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232AAF60"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Prevotellaceae</w:t>
            </w:r>
          </w:p>
        </w:tc>
        <w:tc>
          <w:tcPr>
            <w:tcW w:w="1984" w:type="dxa"/>
            <w:tcBorders>
              <w:top w:val="nil"/>
              <w:left w:val="nil"/>
              <w:bottom w:val="nil"/>
              <w:right w:val="nil"/>
            </w:tcBorders>
            <w:shd w:val="clear" w:color="auto" w:fill="auto"/>
            <w:noWrap/>
            <w:vAlign w:val="bottom"/>
            <w:hideMark/>
          </w:tcPr>
          <w:p w14:paraId="3796C1E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-0.78</w:t>
            </w:r>
          </w:p>
        </w:tc>
        <w:tc>
          <w:tcPr>
            <w:tcW w:w="1276" w:type="dxa"/>
            <w:tcBorders>
              <w:top w:val="nil"/>
              <w:left w:val="nil"/>
              <w:bottom w:val="nil"/>
              <w:right w:val="nil"/>
            </w:tcBorders>
            <w:shd w:val="clear" w:color="auto" w:fill="auto"/>
            <w:noWrap/>
            <w:vAlign w:val="bottom"/>
            <w:hideMark/>
          </w:tcPr>
          <w:p w14:paraId="2D9A88F3"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0.21</w:t>
            </w:r>
          </w:p>
        </w:tc>
        <w:tc>
          <w:tcPr>
            <w:tcW w:w="1559" w:type="dxa"/>
            <w:tcBorders>
              <w:top w:val="nil"/>
              <w:left w:val="nil"/>
              <w:bottom w:val="nil"/>
              <w:right w:val="single" w:sz="4" w:space="0" w:color="000000"/>
            </w:tcBorders>
            <w:shd w:val="clear" w:color="auto" w:fill="auto"/>
            <w:noWrap/>
            <w:vAlign w:val="bottom"/>
            <w:hideMark/>
          </w:tcPr>
          <w:p w14:paraId="1C84A2A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0D38718F"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66CBB834"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30668EA4"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Gemella sanguinis</w:t>
            </w:r>
          </w:p>
        </w:tc>
        <w:tc>
          <w:tcPr>
            <w:tcW w:w="1984" w:type="dxa"/>
            <w:tcBorders>
              <w:top w:val="nil"/>
              <w:left w:val="nil"/>
              <w:bottom w:val="nil"/>
              <w:right w:val="nil"/>
            </w:tcBorders>
            <w:shd w:val="clear" w:color="auto" w:fill="auto"/>
            <w:noWrap/>
            <w:vAlign w:val="bottom"/>
            <w:hideMark/>
          </w:tcPr>
          <w:p w14:paraId="697AE4B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-0.54</w:t>
            </w:r>
          </w:p>
        </w:tc>
        <w:tc>
          <w:tcPr>
            <w:tcW w:w="1276" w:type="dxa"/>
            <w:tcBorders>
              <w:top w:val="nil"/>
              <w:left w:val="nil"/>
              <w:bottom w:val="nil"/>
              <w:right w:val="nil"/>
            </w:tcBorders>
            <w:shd w:val="clear" w:color="auto" w:fill="auto"/>
            <w:noWrap/>
            <w:vAlign w:val="bottom"/>
            <w:hideMark/>
          </w:tcPr>
          <w:p w14:paraId="2AA46691"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0.20</w:t>
            </w:r>
          </w:p>
        </w:tc>
        <w:tc>
          <w:tcPr>
            <w:tcW w:w="1559" w:type="dxa"/>
            <w:tcBorders>
              <w:top w:val="nil"/>
              <w:left w:val="nil"/>
              <w:bottom w:val="nil"/>
              <w:right w:val="single" w:sz="4" w:space="0" w:color="000000"/>
            </w:tcBorders>
            <w:shd w:val="clear" w:color="auto" w:fill="auto"/>
            <w:noWrap/>
            <w:vAlign w:val="bottom"/>
            <w:hideMark/>
          </w:tcPr>
          <w:p w14:paraId="7FFFA3B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0.08</w:t>
            </w:r>
          </w:p>
        </w:tc>
      </w:tr>
      <w:tr w:rsidR="00FB554B" w:rsidRPr="003C3240" w14:paraId="64D692D1"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496938EA"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64B94B29"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Lachnoanaerobaculum</w:t>
            </w:r>
          </w:p>
        </w:tc>
        <w:tc>
          <w:tcPr>
            <w:tcW w:w="1984" w:type="dxa"/>
            <w:tcBorders>
              <w:top w:val="nil"/>
              <w:left w:val="nil"/>
              <w:bottom w:val="nil"/>
              <w:right w:val="nil"/>
            </w:tcBorders>
            <w:shd w:val="clear" w:color="auto" w:fill="auto"/>
            <w:noWrap/>
            <w:vAlign w:val="bottom"/>
            <w:hideMark/>
          </w:tcPr>
          <w:p w14:paraId="3385622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-0.52</w:t>
            </w:r>
          </w:p>
        </w:tc>
        <w:tc>
          <w:tcPr>
            <w:tcW w:w="1276" w:type="dxa"/>
            <w:tcBorders>
              <w:top w:val="nil"/>
              <w:left w:val="nil"/>
              <w:bottom w:val="nil"/>
              <w:right w:val="nil"/>
            </w:tcBorders>
            <w:shd w:val="clear" w:color="auto" w:fill="auto"/>
            <w:noWrap/>
            <w:vAlign w:val="bottom"/>
            <w:hideMark/>
          </w:tcPr>
          <w:p w14:paraId="1F13281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0.19</w:t>
            </w:r>
          </w:p>
        </w:tc>
        <w:tc>
          <w:tcPr>
            <w:tcW w:w="1559" w:type="dxa"/>
            <w:tcBorders>
              <w:top w:val="nil"/>
              <w:left w:val="nil"/>
              <w:bottom w:val="nil"/>
              <w:right w:val="single" w:sz="4" w:space="0" w:color="000000"/>
            </w:tcBorders>
            <w:shd w:val="clear" w:color="auto" w:fill="auto"/>
            <w:noWrap/>
            <w:vAlign w:val="bottom"/>
            <w:hideMark/>
          </w:tcPr>
          <w:p w14:paraId="3CF6D85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0.08</w:t>
            </w:r>
          </w:p>
        </w:tc>
      </w:tr>
      <w:tr w:rsidR="00FB554B" w:rsidRPr="003C3240" w14:paraId="562F5F86"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6CB3684"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0CF73096"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Spodiobacter</w:t>
            </w:r>
          </w:p>
        </w:tc>
        <w:tc>
          <w:tcPr>
            <w:tcW w:w="1984" w:type="dxa"/>
            <w:tcBorders>
              <w:top w:val="nil"/>
              <w:left w:val="nil"/>
              <w:bottom w:val="nil"/>
              <w:right w:val="nil"/>
            </w:tcBorders>
            <w:shd w:val="clear" w:color="auto" w:fill="auto"/>
            <w:noWrap/>
            <w:vAlign w:val="bottom"/>
            <w:hideMark/>
          </w:tcPr>
          <w:p w14:paraId="020F9AA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-0.74</w:t>
            </w:r>
          </w:p>
        </w:tc>
        <w:tc>
          <w:tcPr>
            <w:tcW w:w="1276" w:type="dxa"/>
            <w:tcBorders>
              <w:top w:val="nil"/>
              <w:left w:val="nil"/>
              <w:bottom w:val="nil"/>
              <w:right w:val="nil"/>
            </w:tcBorders>
            <w:shd w:val="clear" w:color="auto" w:fill="auto"/>
            <w:noWrap/>
            <w:vAlign w:val="bottom"/>
            <w:hideMark/>
          </w:tcPr>
          <w:p w14:paraId="2BAD8A7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0.23</w:t>
            </w:r>
          </w:p>
        </w:tc>
        <w:tc>
          <w:tcPr>
            <w:tcW w:w="1559" w:type="dxa"/>
            <w:tcBorders>
              <w:top w:val="nil"/>
              <w:left w:val="nil"/>
              <w:bottom w:val="nil"/>
              <w:right w:val="single" w:sz="4" w:space="0" w:color="000000"/>
            </w:tcBorders>
            <w:shd w:val="clear" w:color="auto" w:fill="auto"/>
            <w:noWrap/>
            <w:vAlign w:val="bottom"/>
            <w:hideMark/>
          </w:tcPr>
          <w:p w14:paraId="3BA5796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0.04</w:t>
            </w:r>
          </w:p>
        </w:tc>
      </w:tr>
      <w:tr w:rsidR="00FB554B" w:rsidRPr="003C3240" w14:paraId="64995178"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7270823A"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6140D026"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Capnocytophaga</w:t>
            </w:r>
          </w:p>
        </w:tc>
        <w:tc>
          <w:tcPr>
            <w:tcW w:w="1984" w:type="dxa"/>
            <w:tcBorders>
              <w:top w:val="nil"/>
              <w:left w:val="nil"/>
              <w:bottom w:val="nil"/>
              <w:right w:val="nil"/>
            </w:tcBorders>
            <w:shd w:val="clear" w:color="auto" w:fill="auto"/>
            <w:noWrap/>
            <w:vAlign w:val="bottom"/>
            <w:hideMark/>
          </w:tcPr>
          <w:p w14:paraId="0E7E1CF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-0.71</w:t>
            </w:r>
          </w:p>
        </w:tc>
        <w:tc>
          <w:tcPr>
            <w:tcW w:w="1276" w:type="dxa"/>
            <w:tcBorders>
              <w:top w:val="nil"/>
              <w:left w:val="nil"/>
              <w:bottom w:val="nil"/>
              <w:right w:val="nil"/>
            </w:tcBorders>
            <w:shd w:val="clear" w:color="auto" w:fill="auto"/>
            <w:noWrap/>
            <w:vAlign w:val="bottom"/>
            <w:hideMark/>
          </w:tcPr>
          <w:p w14:paraId="172B184A"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0.20</w:t>
            </w:r>
          </w:p>
        </w:tc>
        <w:tc>
          <w:tcPr>
            <w:tcW w:w="1559" w:type="dxa"/>
            <w:tcBorders>
              <w:top w:val="nil"/>
              <w:left w:val="nil"/>
              <w:bottom w:val="nil"/>
              <w:right w:val="single" w:sz="4" w:space="0" w:color="000000"/>
            </w:tcBorders>
            <w:shd w:val="clear" w:color="auto" w:fill="auto"/>
            <w:noWrap/>
            <w:vAlign w:val="bottom"/>
            <w:hideMark/>
          </w:tcPr>
          <w:p w14:paraId="6B4F8474"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6133B29D"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68D76832"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2AC52CD1"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Tannerella forsythia</w:t>
            </w:r>
          </w:p>
        </w:tc>
        <w:tc>
          <w:tcPr>
            <w:tcW w:w="1984" w:type="dxa"/>
            <w:tcBorders>
              <w:top w:val="nil"/>
              <w:left w:val="nil"/>
              <w:bottom w:val="nil"/>
              <w:right w:val="nil"/>
            </w:tcBorders>
            <w:shd w:val="clear" w:color="auto" w:fill="auto"/>
            <w:noWrap/>
            <w:vAlign w:val="bottom"/>
            <w:hideMark/>
          </w:tcPr>
          <w:p w14:paraId="695521EB"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0.94</w:t>
            </w:r>
          </w:p>
        </w:tc>
        <w:tc>
          <w:tcPr>
            <w:tcW w:w="1276" w:type="dxa"/>
            <w:tcBorders>
              <w:top w:val="nil"/>
              <w:left w:val="nil"/>
              <w:bottom w:val="nil"/>
              <w:right w:val="nil"/>
            </w:tcBorders>
            <w:shd w:val="clear" w:color="auto" w:fill="auto"/>
            <w:noWrap/>
            <w:vAlign w:val="bottom"/>
            <w:hideMark/>
          </w:tcPr>
          <w:p w14:paraId="020325F7"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0.30</w:t>
            </w:r>
          </w:p>
        </w:tc>
        <w:tc>
          <w:tcPr>
            <w:tcW w:w="1559" w:type="dxa"/>
            <w:tcBorders>
              <w:top w:val="nil"/>
              <w:left w:val="nil"/>
              <w:bottom w:val="nil"/>
              <w:right w:val="single" w:sz="4" w:space="0" w:color="000000"/>
            </w:tcBorders>
            <w:shd w:val="clear" w:color="auto" w:fill="auto"/>
            <w:noWrap/>
            <w:vAlign w:val="bottom"/>
            <w:hideMark/>
          </w:tcPr>
          <w:p w14:paraId="4DD4364B"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0.04</w:t>
            </w:r>
          </w:p>
        </w:tc>
      </w:tr>
      <w:tr w:rsidR="00FB554B" w:rsidRPr="003C3240" w14:paraId="3E650E93"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75819F0"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29E7CB0E"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Metaprevotella</w:t>
            </w:r>
          </w:p>
        </w:tc>
        <w:tc>
          <w:tcPr>
            <w:tcW w:w="1984" w:type="dxa"/>
            <w:tcBorders>
              <w:top w:val="nil"/>
              <w:left w:val="nil"/>
              <w:bottom w:val="nil"/>
              <w:right w:val="nil"/>
            </w:tcBorders>
            <w:shd w:val="clear" w:color="auto" w:fill="auto"/>
            <w:noWrap/>
            <w:vAlign w:val="bottom"/>
            <w:hideMark/>
          </w:tcPr>
          <w:p w14:paraId="3C659AC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0.93</w:t>
            </w:r>
          </w:p>
        </w:tc>
        <w:tc>
          <w:tcPr>
            <w:tcW w:w="1276" w:type="dxa"/>
            <w:tcBorders>
              <w:top w:val="nil"/>
              <w:left w:val="nil"/>
              <w:bottom w:val="nil"/>
              <w:right w:val="nil"/>
            </w:tcBorders>
            <w:shd w:val="clear" w:color="auto" w:fill="auto"/>
            <w:noWrap/>
            <w:vAlign w:val="bottom"/>
            <w:hideMark/>
          </w:tcPr>
          <w:p w14:paraId="20EF6AB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0.33</w:t>
            </w:r>
          </w:p>
        </w:tc>
        <w:tc>
          <w:tcPr>
            <w:tcW w:w="1559" w:type="dxa"/>
            <w:tcBorders>
              <w:top w:val="nil"/>
              <w:left w:val="nil"/>
              <w:bottom w:val="nil"/>
              <w:right w:val="single" w:sz="4" w:space="0" w:color="000000"/>
            </w:tcBorders>
            <w:shd w:val="clear" w:color="auto" w:fill="auto"/>
            <w:noWrap/>
            <w:vAlign w:val="bottom"/>
            <w:hideMark/>
          </w:tcPr>
          <w:p w14:paraId="1BDE68B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0.07</w:t>
            </w:r>
          </w:p>
        </w:tc>
      </w:tr>
      <w:tr w:rsidR="00FB554B" w:rsidRPr="003C3240" w14:paraId="210EFE5F"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45ECF72B"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2ED2F753"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Fretibacterium</w:t>
            </w:r>
          </w:p>
        </w:tc>
        <w:tc>
          <w:tcPr>
            <w:tcW w:w="1984" w:type="dxa"/>
            <w:tcBorders>
              <w:top w:val="nil"/>
              <w:left w:val="nil"/>
              <w:bottom w:val="nil"/>
              <w:right w:val="nil"/>
            </w:tcBorders>
            <w:shd w:val="clear" w:color="auto" w:fill="auto"/>
            <w:noWrap/>
            <w:vAlign w:val="bottom"/>
            <w:hideMark/>
          </w:tcPr>
          <w:p w14:paraId="6E6708A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0.97</w:t>
            </w:r>
          </w:p>
        </w:tc>
        <w:tc>
          <w:tcPr>
            <w:tcW w:w="1276" w:type="dxa"/>
            <w:tcBorders>
              <w:top w:val="nil"/>
              <w:left w:val="nil"/>
              <w:bottom w:val="nil"/>
              <w:right w:val="nil"/>
            </w:tcBorders>
            <w:shd w:val="clear" w:color="auto" w:fill="auto"/>
            <w:noWrap/>
            <w:vAlign w:val="bottom"/>
            <w:hideMark/>
          </w:tcPr>
          <w:p w14:paraId="01C42F9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0.31</w:t>
            </w:r>
          </w:p>
        </w:tc>
        <w:tc>
          <w:tcPr>
            <w:tcW w:w="1559" w:type="dxa"/>
            <w:tcBorders>
              <w:top w:val="nil"/>
              <w:left w:val="nil"/>
              <w:bottom w:val="nil"/>
              <w:right w:val="single" w:sz="4" w:space="0" w:color="000000"/>
            </w:tcBorders>
            <w:shd w:val="clear" w:color="auto" w:fill="auto"/>
            <w:noWrap/>
            <w:vAlign w:val="bottom"/>
            <w:hideMark/>
          </w:tcPr>
          <w:p w14:paraId="5E63430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0.04</w:t>
            </w:r>
          </w:p>
        </w:tc>
      </w:tr>
      <w:tr w:rsidR="00FB554B" w:rsidRPr="003C3240" w14:paraId="1C2054ED"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57414E0A"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7F5BB311"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Fretibacterium fastidiosum</w:t>
            </w:r>
          </w:p>
        </w:tc>
        <w:tc>
          <w:tcPr>
            <w:tcW w:w="1984" w:type="dxa"/>
            <w:tcBorders>
              <w:top w:val="nil"/>
              <w:left w:val="nil"/>
              <w:bottom w:val="nil"/>
              <w:right w:val="nil"/>
            </w:tcBorders>
            <w:shd w:val="clear" w:color="auto" w:fill="auto"/>
            <w:noWrap/>
            <w:vAlign w:val="bottom"/>
            <w:hideMark/>
          </w:tcPr>
          <w:p w14:paraId="7BF1806B"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0.79</w:t>
            </w:r>
          </w:p>
        </w:tc>
        <w:tc>
          <w:tcPr>
            <w:tcW w:w="1276" w:type="dxa"/>
            <w:tcBorders>
              <w:top w:val="nil"/>
              <w:left w:val="nil"/>
              <w:bottom w:val="nil"/>
              <w:right w:val="nil"/>
            </w:tcBorders>
            <w:shd w:val="clear" w:color="auto" w:fill="auto"/>
            <w:noWrap/>
            <w:vAlign w:val="bottom"/>
            <w:hideMark/>
          </w:tcPr>
          <w:p w14:paraId="7AD882C7"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0.25</w:t>
            </w:r>
          </w:p>
        </w:tc>
        <w:tc>
          <w:tcPr>
            <w:tcW w:w="1559" w:type="dxa"/>
            <w:tcBorders>
              <w:top w:val="nil"/>
              <w:left w:val="nil"/>
              <w:bottom w:val="nil"/>
              <w:right w:val="single" w:sz="4" w:space="0" w:color="000000"/>
            </w:tcBorders>
            <w:shd w:val="clear" w:color="auto" w:fill="auto"/>
            <w:noWrap/>
            <w:vAlign w:val="bottom"/>
            <w:hideMark/>
          </w:tcPr>
          <w:p w14:paraId="5F1DFA83"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0.04</w:t>
            </w:r>
          </w:p>
        </w:tc>
      </w:tr>
      <w:tr w:rsidR="00FB554B" w:rsidRPr="003C3240" w14:paraId="20250770"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F66B9B4"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42EEEB4F"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Pseudoleptotrichia goodfellowii</w:t>
            </w:r>
          </w:p>
        </w:tc>
        <w:tc>
          <w:tcPr>
            <w:tcW w:w="1984" w:type="dxa"/>
            <w:tcBorders>
              <w:top w:val="nil"/>
              <w:left w:val="nil"/>
              <w:bottom w:val="nil"/>
              <w:right w:val="nil"/>
            </w:tcBorders>
            <w:shd w:val="clear" w:color="auto" w:fill="auto"/>
            <w:noWrap/>
            <w:vAlign w:val="bottom"/>
            <w:hideMark/>
          </w:tcPr>
          <w:p w14:paraId="62C6030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-0.72</w:t>
            </w:r>
          </w:p>
        </w:tc>
        <w:tc>
          <w:tcPr>
            <w:tcW w:w="1276" w:type="dxa"/>
            <w:tcBorders>
              <w:top w:val="nil"/>
              <w:left w:val="nil"/>
              <w:bottom w:val="nil"/>
              <w:right w:val="nil"/>
            </w:tcBorders>
            <w:shd w:val="clear" w:color="auto" w:fill="auto"/>
            <w:noWrap/>
            <w:vAlign w:val="bottom"/>
            <w:hideMark/>
          </w:tcPr>
          <w:p w14:paraId="616EE86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0.26</w:t>
            </w:r>
          </w:p>
        </w:tc>
        <w:tc>
          <w:tcPr>
            <w:tcW w:w="1559" w:type="dxa"/>
            <w:tcBorders>
              <w:top w:val="nil"/>
              <w:left w:val="nil"/>
              <w:bottom w:val="nil"/>
              <w:right w:val="single" w:sz="4" w:space="0" w:color="000000"/>
            </w:tcBorders>
            <w:shd w:val="clear" w:color="auto" w:fill="auto"/>
            <w:noWrap/>
            <w:vAlign w:val="bottom"/>
            <w:hideMark/>
          </w:tcPr>
          <w:p w14:paraId="76D68E7B"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0.08</w:t>
            </w:r>
          </w:p>
        </w:tc>
      </w:tr>
      <w:tr w:rsidR="00FB554B" w:rsidRPr="003C3240" w14:paraId="72857A63"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479B05D0"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213AEA42"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Treponema denticola</w:t>
            </w:r>
          </w:p>
        </w:tc>
        <w:tc>
          <w:tcPr>
            <w:tcW w:w="1984" w:type="dxa"/>
            <w:tcBorders>
              <w:top w:val="nil"/>
              <w:left w:val="nil"/>
              <w:bottom w:val="nil"/>
              <w:right w:val="nil"/>
            </w:tcBorders>
            <w:shd w:val="clear" w:color="auto" w:fill="auto"/>
            <w:noWrap/>
            <w:vAlign w:val="bottom"/>
            <w:hideMark/>
          </w:tcPr>
          <w:p w14:paraId="6C39BCD1"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0.87</w:t>
            </w:r>
          </w:p>
        </w:tc>
        <w:tc>
          <w:tcPr>
            <w:tcW w:w="1276" w:type="dxa"/>
            <w:tcBorders>
              <w:top w:val="nil"/>
              <w:left w:val="nil"/>
              <w:bottom w:val="nil"/>
              <w:right w:val="nil"/>
            </w:tcBorders>
            <w:shd w:val="clear" w:color="auto" w:fill="auto"/>
            <w:noWrap/>
            <w:vAlign w:val="bottom"/>
            <w:hideMark/>
          </w:tcPr>
          <w:p w14:paraId="7E0D8BC4"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0.24</w:t>
            </w:r>
          </w:p>
        </w:tc>
        <w:tc>
          <w:tcPr>
            <w:tcW w:w="1559" w:type="dxa"/>
            <w:tcBorders>
              <w:top w:val="nil"/>
              <w:left w:val="nil"/>
              <w:bottom w:val="nil"/>
              <w:right w:val="single" w:sz="4" w:space="0" w:color="000000"/>
            </w:tcBorders>
            <w:shd w:val="clear" w:color="auto" w:fill="auto"/>
            <w:noWrap/>
            <w:vAlign w:val="bottom"/>
            <w:hideMark/>
          </w:tcPr>
          <w:p w14:paraId="68B7E97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780DEB72"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05B50C39"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0DA29BAF"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Eggerthia</w:t>
            </w:r>
          </w:p>
        </w:tc>
        <w:tc>
          <w:tcPr>
            <w:tcW w:w="1984" w:type="dxa"/>
            <w:tcBorders>
              <w:top w:val="nil"/>
              <w:left w:val="nil"/>
              <w:bottom w:val="nil"/>
              <w:right w:val="nil"/>
            </w:tcBorders>
            <w:shd w:val="clear" w:color="auto" w:fill="auto"/>
            <w:noWrap/>
            <w:vAlign w:val="bottom"/>
            <w:hideMark/>
          </w:tcPr>
          <w:p w14:paraId="323B4C2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0.57</w:t>
            </w:r>
          </w:p>
        </w:tc>
        <w:tc>
          <w:tcPr>
            <w:tcW w:w="1276" w:type="dxa"/>
            <w:tcBorders>
              <w:top w:val="nil"/>
              <w:left w:val="nil"/>
              <w:bottom w:val="nil"/>
              <w:right w:val="nil"/>
            </w:tcBorders>
            <w:shd w:val="clear" w:color="auto" w:fill="auto"/>
            <w:noWrap/>
            <w:vAlign w:val="bottom"/>
            <w:hideMark/>
          </w:tcPr>
          <w:p w14:paraId="27E59497"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0.20</w:t>
            </w:r>
          </w:p>
        </w:tc>
        <w:tc>
          <w:tcPr>
            <w:tcW w:w="1559" w:type="dxa"/>
            <w:tcBorders>
              <w:top w:val="nil"/>
              <w:left w:val="nil"/>
              <w:bottom w:val="nil"/>
              <w:right w:val="single" w:sz="4" w:space="0" w:color="000000"/>
            </w:tcBorders>
            <w:shd w:val="clear" w:color="auto" w:fill="auto"/>
            <w:noWrap/>
            <w:vAlign w:val="bottom"/>
            <w:hideMark/>
          </w:tcPr>
          <w:p w14:paraId="2D823A93"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0.07</w:t>
            </w:r>
          </w:p>
        </w:tc>
      </w:tr>
      <w:tr w:rsidR="00FB554B" w:rsidRPr="003C3240" w14:paraId="0EDBC7FA"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490E70A5"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4A044A13"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Shuttleworthia</w:t>
            </w:r>
          </w:p>
        </w:tc>
        <w:tc>
          <w:tcPr>
            <w:tcW w:w="1984" w:type="dxa"/>
            <w:tcBorders>
              <w:top w:val="nil"/>
              <w:left w:val="nil"/>
              <w:bottom w:val="nil"/>
              <w:right w:val="nil"/>
            </w:tcBorders>
            <w:shd w:val="clear" w:color="auto" w:fill="auto"/>
            <w:noWrap/>
            <w:vAlign w:val="bottom"/>
            <w:hideMark/>
          </w:tcPr>
          <w:p w14:paraId="219A967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0.62</w:t>
            </w:r>
          </w:p>
        </w:tc>
        <w:tc>
          <w:tcPr>
            <w:tcW w:w="1276" w:type="dxa"/>
            <w:tcBorders>
              <w:top w:val="nil"/>
              <w:left w:val="nil"/>
              <w:bottom w:val="nil"/>
              <w:right w:val="nil"/>
            </w:tcBorders>
            <w:shd w:val="clear" w:color="auto" w:fill="auto"/>
            <w:noWrap/>
            <w:vAlign w:val="bottom"/>
            <w:hideMark/>
          </w:tcPr>
          <w:p w14:paraId="428B2BB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0.23</w:t>
            </w:r>
          </w:p>
        </w:tc>
        <w:tc>
          <w:tcPr>
            <w:tcW w:w="1559" w:type="dxa"/>
            <w:tcBorders>
              <w:top w:val="nil"/>
              <w:left w:val="nil"/>
              <w:bottom w:val="nil"/>
              <w:right w:val="single" w:sz="4" w:space="0" w:color="000000"/>
            </w:tcBorders>
            <w:shd w:val="clear" w:color="auto" w:fill="auto"/>
            <w:noWrap/>
            <w:vAlign w:val="bottom"/>
            <w:hideMark/>
          </w:tcPr>
          <w:p w14:paraId="70191F8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0.08</w:t>
            </w:r>
          </w:p>
        </w:tc>
      </w:tr>
      <w:tr w:rsidR="00FB554B" w:rsidRPr="003C3240" w14:paraId="20B9674B" w14:textId="77777777" w:rsidTr="006C059E">
        <w:trPr>
          <w:trHeight w:val="32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20938961"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single" w:sz="4" w:space="0" w:color="auto"/>
              <w:right w:val="nil"/>
            </w:tcBorders>
            <w:shd w:val="clear" w:color="auto" w:fill="auto"/>
            <w:noWrap/>
            <w:vAlign w:val="bottom"/>
            <w:hideMark/>
          </w:tcPr>
          <w:p w14:paraId="570A139F"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Johnsonella</w:t>
            </w:r>
          </w:p>
        </w:tc>
        <w:tc>
          <w:tcPr>
            <w:tcW w:w="1984" w:type="dxa"/>
            <w:tcBorders>
              <w:top w:val="nil"/>
              <w:left w:val="nil"/>
              <w:bottom w:val="single" w:sz="4" w:space="0" w:color="auto"/>
              <w:right w:val="nil"/>
            </w:tcBorders>
            <w:shd w:val="clear" w:color="auto" w:fill="auto"/>
            <w:noWrap/>
            <w:vAlign w:val="bottom"/>
            <w:hideMark/>
          </w:tcPr>
          <w:p w14:paraId="389F9C3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0.55</w:t>
            </w:r>
          </w:p>
        </w:tc>
        <w:tc>
          <w:tcPr>
            <w:tcW w:w="1276" w:type="dxa"/>
            <w:tcBorders>
              <w:top w:val="nil"/>
              <w:left w:val="nil"/>
              <w:bottom w:val="single" w:sz="4" w:space="0" w:color="auto"/>
              <w:right w:val="nil"/>
            </w:tcBorders>
            <w:shd w:val="clear" w:color="auto" w:fill="auto"/>
            <w:noWrap/>
            <w:vAlign w:val="bottom"/>
            <w:hideMark/>
          </w:tcPr>
          <w:p w14:paraId="5E39DC6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0.19</w:t>
            </w:r>
          </w:p>
        </w:tc>
        <w:tc>
          <w:tcPr>
            <w:tcW w:w="1559" w:type="dxa"/>
            <w:tcBorders>
              <w:top w:val="nil"/>
              <w:left w:val="nil"/>
              <w:bottom w:val="single" w:sz="4" w:space="0" w:color="auto"/>
              <w:right w:val="single" w:sz="4" w:space="0" w:color="000000"/>
            </w:tcBorders>
            <w:shd w:val="clear" w:color="auto" w:fill="auto"/>
            <w:noWrap/>
            <w:vAlign w:val="bottom"/>
            <w:hideMark/>
          </w:tcPr>
          <w:p w14:paraId="6CCA1CA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0.07</w:t>
            </w:r>
          </w:p>
        </w:tc>
      </w:tr>
      <w:tr w:rsidR="00FB554B" w:rsidRPr="003C3240" w14:paraId="7D09BC10" w14:textId="77777777" w:rsidTr="006C059E">
        <w:trPr>
          <w:trHeight w:val="320"/>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3BC6637"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Gingivitis</w:t>
            </w:r>
          </w:p>
        </w:tc>
        <w:tc>
          <w:tcPr>
            <w:tcW w:w="3397" w:type="dxa"/>
            <w:tcBorders>
              <w:top w:val="nil"/>
              <w:left w:val="nil"/>
              <w:bottom w:val="nil"/>
              <w:right w:val="nil"/>
            </w:tcBorders>
            <w:shd w:val="clear" w:color="auto" w:fill="auto"/>
            <w:noWrap/>
            <w:vAlign w:val="bottom"/>
            <w:hideMark/>
          </w:tcPr>
          <w:p w14:paraId="6DAA07C5"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Parvimonas</w:t>
            </w:r>
          </w:p>
        </w:tc>
        <w:tc>
          <w:tcPr>
            <w:tcW w:w="1984" w:type="dxa"/>
            <w:tcBorders>
              <w:top w:val="nil"/>
              <w:left w:val="nil"/>
              <w:bottom w:val="nil"/>
              <w:right w:val="nil"/>
            </w:tcBorders>
            <w:shd w:val="clear" w:color="auto" w:fill="auto"/>
            <w:noWrap/>
            <w:vAlign w:val="bottom"/>
            <w:hideMark/>
          </w:tcPr>
          <w:p w14:paraId="2EF90ED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0.95</w:t>
            </w:r>
          </w:p>
        </w:tc>
        <w:tc>
          <w:tcPr>
            <w:tcW w:w="1276" w:type="dxa"/>
            <w:tcBorders>
              <w:top w:val="nil"/>
              <w:left w:val="nil"/>
              <w:bottom w:val="nil"/>
              <w:right w:val="nil"/>
            </w:tcBorders>
            <w:shd w:val="clear" w:color="auto" w:fill="auto"/>
            <w:noWrap/>
            <w:vAlign w:val="bottom"/>
            <w:hideMark/>
          </w:tcPr>
          <w:p w14:paraId="23BA6AA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0.29</w:t>
            </w:r>
          </w:p>
        </w:tc>
        <w:tc>
          <w:tcPr>
            <w:tcW w:w="1559" w:type="dxa"/>
            <w:tcBorders>
              <w:top w:val="nil"/>
              <w:left w:val="nil"/>
              <w:bottom w:val="nil"/>
              <w:right w:val="single" w:sz="4" w:space="0" w:color="000000"/>
            </w:tcBorders>
            <w:shd w:val="clear" w:color="auto" w:fill="auto"/>
            <w:noWrap/>
            <w:vAlign w:val="bottom"/>
            <w:hideMark/>
          </w:tcPr>
          <w:p w14:paraId="419B4743"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0.07</w:t>
            </w:r>
          </w:p>
        </w:tc>
      </w:tr>
      <w:tr w:rsidR="00FB554B" w:rsidRPr="003C3240" w14:paraId="2D7F9D3F" w14:textId="77777777" w:rsidTr="006C059E">
        <w:trPr>
          <w:trHeight w:val="320"/>
        </w:trPr>
        <w:tc>
          <w:tcPr>
            <w:tcW w:w="1560" w:type="dxa"/>
            <w:vMerge/>
            <w:tcBorders>
              <w:top w:val="nil"/>
              <w:left w:val="single" w:sz="4" w:space="0" w:color="auto"/>
              <w:bottom w:val="single" w:sz="4" w:space="0" w:color="auto"/>
              <w:right w:val="single" w:sz="4" w:space="0" w:color="auto"/>
            </w:tcBorders>
            <w:vAlign w:val="center"/>
            <w:hideMark/>
          </w:tcPr>
          <w:p w14:paraId="7980B323"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59653355"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Gallibacter</w:t>
            </w:r>
          </w:p>
        </w:tc>
        <w:tc>
          <w:tcPr>
            <w:tcW w:w="1984" w:type="dxa"/>
            <w:tcBorders>
              <w:top w:val="nil"/>
              <w:left w:val="nil"/>
              <w:bottom w:val="nil"/>
              <w:right w:val="nil"/>
            </w:tcBorders>
            <w:shd w:val="clear" w:color="auto" w:fill="auto"/>
            <w:noWrap/>
            <w:vAlign w:val="bottom"/>
            <w:hideMark/>
          </w:tcPr>
          <w:p w14:paraId="1A6F3A31"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0.84</w:t>
            </w:r>
          </w:p>
        </w:tc>
        <w:tc>
          <w:tcPr>
            <w:tcW w:w="1276" w:type="dxa"/>
            <w:tcBorders>
              <w:top w:val="nil"/>
              <w:left w:val="nil"/>
              <w:bottom w:val="nil"/>
              <w:right w:val="nil"/>
            </w:tcBorders>
            <w:shd w:val="clear" w:color="auto" w:fill="auto"/>
            <w:noWrap/>
            <w:vAlign w:val="bottom"/>
            <w:hideMark/>
          </w:tcPr>
          <w:p w14:paraId="38183C5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0.26</w:t>
            </w:r>
          </w:p>
        </w:tc>
        <w:tc>
          <w:tcPr>
            <w:tcW w:w="1559" w:type="dxa"/>
            <w:tcBorders>
              <w:top w:val="nil"/>
              <w:left w:val="nil"/>
              <w:bottom w:val="nil"/>
              <w:right w:val="single" w:sz="4" w:space="0" w:color="000000"/>
            </w:tcBorders>
            <w:shd w:val="clear" w:color="auto" w:fill="auto"/>
            <w:noWrap/>
            <w:vAlign w:val="bottom"/>
            <w:hideMark/>
          </w:tcPr>
          <w:p w14:paraId="14D0E8C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0.07</w:t>
            </w:r>
          </w:p>
        </w:tc>
      </w:tr>
      <w:tr w:rsidR="00FB554B" w:rsidRPr="003C3240" w14:paraId="53309C2D" w14:textId="77777777" w:rsidTr="006C059E">
        <w:trPr>
          <w:trHeight w:val="320"/>
        </w:trPr>
        <w:tc>
          <w:tcPr>
            <w:tcW w:w="1560" w:type="dxa"/>
            <w:vMerge/>
            <w:tcBorders>
              <w:top w:val="nil"/>
              <w:left w:val="single" w:sz="4" w:space="0" w:color="auto"/>
              <w:bottom w:val="single" w:sz="4" w:space="0" w:color="auto"/>
              <w:right w:val="single" w:sz="4" w:space="0" w:color="auto"/>
            </w:tcBorders>
            <w:vAlign w:val="center"/>
            <w:hideMark/>
          </w:tcPr>
          <w:p w14:paraId="13C04A23"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single" w:sz="4" w:space="0" w:color="auto"/>
              <w:right w:val="nil"/>
            </w:tcBorders>
            <w:shd w:val="clear" w:color="auto" w:fill="auto"/>
            <w:noWrap/>
            <w:vAlign w:val="bottom"/>
            <w:hideMark/>
          </w:tcPr>
          <w:p w14:paraId="52E8E8CC"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Eggerthia</w:t>
            </w:r>
          </w:p>
        </w:tc>
        <w:tc>
          <w:tcPr>
            <w:tcW w:w="1984" w:type="dxa"/>
            <w:tcBorders>
              <w:top w:val="nil"/>
              <w:left w:val="nil"/>
              <w:bottom w:val="single" w:sz="4" w:space="0" w:color="auto"/>
              <w:right w:val="nil"/>
            </w:tcBorders>
            <w:shd w:val="clear" w:color="auto" w:fill="auto"/>
            <w:noWrap/>
            <w:vAlign w:val="bottom"/>
            <w:hideMark/>
          </w:tcPr>
          <w:p w14:paraId="4C37A9E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0.60</w:t>
            </w:r>
          </w:p>
        </w:tc>
        <w:tc>
          <w:tcPr>
            <w:tcW w:w="1276" w:type="dxa"/>
            <w:tcBorders>
              <w:top w:val="nil"/>
              <w:left w:val="nil"/>
              <w:bottom w:val="single" w:sz="4" w:space="0" w:color="auto"/>
              <w:right w:val="nil"/>
            </w:tcBorders>
            <w:shd w:val="clear" w:color="auto" w:fill="auto"/>
            <w:noWrap/>
            <w:vAlign w:val="bottom"/>
            <w:hideMark/>
          </w:tcPr>
          <w:p w14:paraId="0E7E144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0.17</w:t>
            </w:r>
          </w:p>
        </w:tc>
        <w:tc>
          <w:tcPr>
            <w:tcW w:w="1559" w:type="dxa"/>
            <w:tcBorders>
              <w:top w:val="nil"/>
              <w:left w:val="nil"/>
              <w:bottom w:val="single" w:sz="4" w:space="0" w:color="auto"/>
              <w:right w:val="single" w:sz="4" w:space="0" w:color="000000"/>
            </w:tcBorders>
            <w:shd w:val="clear" w:color="auto" w:fill="auto"/>
            <w:noWrap/>
            <w:vAlign w:val="bottom"/>
            <w:hideMark/>
          </w:tcPr>
          <w:p w14:paraId="15DCD05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0.07</w:t>
            </w:r>
          </w:p>
        </w:tc>
      </w:tr>
      <w:tr w:rsidR="00FB554B" w:rsidRPr="003C3240" w14:paraId="6E13DC83" w14:textId="77777777" w:rsidTr="006C059E">
        <w:trPr>
          <w:trHeight w:val="320"/>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AE441A5"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TeethCAL5</w:t>
            </w:r>
          </w:p>
        </w:tc>
        <w:tc>
          <w:tcPr>
            <w:tcW w:w="3397" w:type="dxa"/>
            <w:tcBorders>
              <w:top w:val="nil"/>
              <w:left w:val="nil"/>
              <w:bottom w:val="nil"/>
              <w:right w:val="nil"/>
            </w:tcBorders>
            <w:shd w:val="clear" w:color="auto" w:fill="auto"/>
            <w:noWrap/>
            <w:vAlign w:val="bottom"/>
            <w:hideMark/>
          </w:tcPr>
          <w:p w14:paraId="71B6FB81"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Fusobacterium</w:t>
            </w:r>
          </w:p>
        </w:tc>
        <w:tc>
          <w:tcPr>
            <w:tcW w:w="1984" w:type="dxa"/>
            <w:tcBorders>
              <w:top w:val="nil"/>
              <w:left w:val="nil"/>
              <w:bottom w:val="nil"/>
              <w:right w:val="nil"/>
            </w:tcBorders>
            <w:shd w:val="clear" w:color="auto" w:fill="auto"/>
            <w:noWrap/>
            <w:vAlign w:val="bottom"/>
            <w:hideMark/>
          </w:tcPr>
          <w:p w14:paraId="13DB764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-0.31</w:t>
            </w:r>
          </w:p>
        </w:tc>
        <w:tc>
          <w:tcPr>
            <w:tcW w:w="1276" w:type="dxa"/>
            <w:tcBorders>
              <w:top w:val="nil"/>
              <w:left w:val="nil"/>
              <w:bottom w:val="nil"/>
              <w:right w:val="nil"/>
            </w:tcBorders>
            <w:shd w:val="clear" w:color="auto" w:fill="auto"/>
            <w:noWrap/>
            <w:vAlign w:val="bottom"/>
            <w:hideMark/>
          </w:tcPr>
          <w:p w14:paraId="655569B7"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0.11</w:t>
            </w:r>
          </w:p>
        </w:tc>
        <w:tc>
          <w:tcPr>
            <w:tcW w:w="1559" w:type="dxa"/>
            <w:tcBorders>
              <w:top w:val="nil"/>
              <w:left w:val="nil"/>
              <w:bottom w:val="nil"/>
              <w:right w:val="single" w:sz="4" w:space="0" w:color="000000"/>
            </w:tcBorders>
            <w:shd w:val="clear" w:color="auto" w:fill="auto"/>
            <w:noWrap/>
            <w:vAlign w:val="bottom"/>
            <w:hideMark/>
          </w:tcPr>
          <w:p w14:paraId="18C58F3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0.11</w:t>
            </w:r>
          </w:p>
        </w:tc>
      </w:tr>
      <w:tr w:rsidR="00FB554B" w:rsidRPr="003C3240" w14:paraId="0B97B72D" w14:textId="77777777" w:rsidTr="006C059E">
        <w:trPr>
          <w:trHeight w:val="320"/>
        </w:trPr>
        <w:tc>
          <w:tcPr>
            <w:tcW w:w="1560" w:type="dxa"/>
            <w:vMerge/>
            <w:tcBorders>
              <w:top w:val="nil"/>
              <w:left w:val="single" w:sz="4" w:space="0" w:color="auto"/>
              <w:bottom w:val="single" w:sz="4" w:space="0" w:color="auto"/>
              <w:right w:val="single" w:sz="4" w:space="0" w:color="auto"/>
            </w:tcBorders>
            <w:vAlign w:val="center"/>
            <w:hideMark/>
          </w:tcPr>
          <w:p w14:paraId="0AFF7BE3"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06407555"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Parvimonas</w:t>
            </w:r>
          </w:p>
        </w:tc>
        <w:tc>
          <w:tcPr>
            <w:tcW w:w="1984" w:type="dxa"/>
            <w:tcBorders>
              <w:top w:val="nil"/>
              <w:left w:val="nil"/>
              <w:bottom w:val="nil"/>
              <w:right w:val="nil"/>
            </w:tcBorders>
            <w:shd w:val="clear" w:color="auto" w:fill="auto"/>
            <w:noWrap/>
            <w:vAlign w:val="bottom"/>
            <w:hideMark/>
          </w:tcPr>
          <w:p w14:paraId="71E1E464"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-0.63</w:t>
            </w:r>
          </w:p>
        </w:tc>
        <w:tc>
          <w:tcPr>
            <w:tcW w:w="1276" w:type="dxa"/>
            <w:tcBorders>
              <w:top w:val="nil"/>
              <w:left w:val="nil"/>
              <w:bottom w:val="nil"/>
              <w:right w:val="nil"/>
            </w:tcBorders>
            <w:shd w:val="clear" w:color="auto" w:fill="auto"/>
            <w:noWrap/>
            <w:vAlign w:val="bottom"/>
            <w:hideMark/>
          </w:tcPr>
          <w:p w14:paraId="0203B81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0.21</w:t>
            </w:r>
          </w:p>
        </w:tc>
        <w:tc>
          <w:tcPr>
            <w:tcW w:w="1559" w:type="dxa"/>
            <w:tcBorders>
              <w:top w:val="nil"/>
              <w:left w:val="nil"/>
              <w:bottom w:val="nil"/>
              <w:right w:val="single" w:sz="4" w:space="0" w:color="000000"/>
            </w:tcBorders>
            <w:shd w:val="clear" w:color="auto" w:fill="auto"/>
            <w:noWrap/>
            <w:vAlign w:val="bottom"/>
            <w:hideMark/>
          </w:tcPr>
          <w:p w14:paraId="63BAAD50"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0.11</w:t>
            </w:r>
          </w:p>
        </w:tc>
      </w:tr>
      <w:tr w:rsidR="00FB554B" w:rsidRPr="003C3240" w14:paraId="7910F110" w14:textId="77777777" w:rsidTr="006C059E">
        <w:trPr>
          <w:trHeight w:val="320"/>
        </w:trPr>
        <w:tc>
          <w:tcPr>
            <w:tcW w:w="1560" w:type="dxa"/>
            <w:vMerge/>
            <w:tcBorders>
              <w:top w:val="nil"/>
              <w:left w:val="single" w:sz="4" w:space="0" w:color="auto"/>
              <w:bottom w:val="single" w:sz="4" w:space="0" w:color="auto"/>
              <w:right w:val="single" w:sz="4" w:space="0" w:color="auto"/>
            </w:tcBorders>
            <w:vAlign w:val="center"/>
            <w:hideMark/>
          </w:tcPr>
          <w:p w14:paraId="565AED0C"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7944CBEF"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Hallella</w:t>
            </w:r>
          </w:p>
        </w:tc>
        <w:tc>
          <w:tcPr>
            <w:tcW w:w="1984" w:type="dxa"/>
            <w:tcBorders>
              <w:top w:val="nil"/>
              <w:left w:val="nil"/>
              <w:bottom w:val="nil"/>
              <w:right w:val="nil"/>
            </w:tcBorders>
            <w:shd w:val="clear" w:color="auto" w:fill="auto"/>
            <w:noWrap/>
            <w:vAlign w:val="bottom"/>
            <w:hideMark/>
          </w:tcPr>
          <w:p w14:paraId="5F50833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0.50</w:t>
            </w:r>
          </w:p>
        </w:tc>
        <w:tc>
          <w:tcPr>
            <w:tcW w:w="1276" w:type="dxa"/>
            <w:tcBorders>
              <w:top w:val="nil"/>
              <w:left w:val="nil"/>
              <w:bottom w:val="nil"/>
              <w:right w:val="nil"/>
            </w:tcBorders>
            <w:shd w:val="clear" w:color="auto" w:fill="auto"/>
            <w:noWrap/>
            <w:vAlign w:val="bottom"/>
            <w:hideMark/>
          </w:tcPr>
          <w:p w14:paraId="2EC6A45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0.17</w:t>
            </w:r>
          </w:p>
        </w:tc>
        <w:tc>
          <w:tcPr>
            <w:tcW w:w="1559" w:type="dxa"/>
            <w:tcBorders>
              <w:top w:val="nil"/>
              <w:left w:val="nil"/>
              <w:bottom w:val="nil"/>
              <w:right w:val="single" w:sz="4" w:space="0" w:color="000000"/>
            </w:tcBorders>
            <w:shd w:val="clear" w:color="auto" w:fill="auto"/>
            <w:noWrap/>
            <w:vAlign w:val="bottom"/>
            <w:hideMark/>
          </w:tcPr>
          <w:p w14:paraId="159B121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0.11</w:t>
            </w:r>
          </w:p>
        </w:tc>
      </w:tr>
      <w:tr w:rsidR="00FB554B" w:rsidRPr="003C3240" w14:paraId="5EB43ACC" w14:textId="77777777" w:rsidTr="006C059E">
        <w:trPr>
          <w:trHeight w:val="320"/>
        </w:trPr>
        <w:tc>
          <w:tcPr>
            <w:tcW w:w="1560" w:type="dxa"/>
            <w:vMerge/>
            <w:tcBorders>
              <w:top w:val="nil"/>
              <w:left w:val="single" w:sz="4" w:space="0" w:color="auto"/>
              <w:bottom w:val="single" w:sz="4" w:space="0" w:color="auto"/>
              <w:right w:val="single" w:sz="4" w:space="0" w:color="auto"/>
            </w:tcBorders>
            <w:vAlign w:val="center"/>
            <w:hideMark/>
          </w:tcPr>
          <w:p w14:paraId="19FCD951"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1429BE7D"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Shuttleworthia</w:t>
            </w:r>
          </w:p>
        </w:tc>
        <w:tc>
          <w:tcPr>
            <w:tcW w:w="1984" w:type="dxa"/>
            <w:tcBorders>
              <w:top w:val="nil"/>
              <w:left w:val="nil"/>
              <w:bottom w:val="nil"/>
              <w:right w:val="nil"/>
            </w:tcBorders>
            <w:shd w:val="clear" w:color="auto" w:fill="auto"/>
            <w:noWrap/>
            <w:vAlign w:val="bottom"/>
            <w:hideMark/>
          </w:tcPr>
          <w:p w14:paraId="207D6E8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0.44</w:t>
            </w:r>
          </w:p>
        </w:tc>
        <w:tc>
          <w:tcPr>
            <w:tcW w:w="1276" w:type="dxa"/>
            <w:tcBorders>
              <w:top w:val="nil"/>
              <w:left w:val="nil"/>
              <w:bottom w:val="nil"/>
              <w:right w:val="nil"/>
            </w:tcBorders>
            <w:shd w:val="clear" w:color="auto" w:fill="auto"/>
            <w:noWrap/>
            <w:vAlign w:val="bottom"/>
            <w:hideMark/>
          </w:tcPr>
          <w:p w14:paraId="0705A52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0.15</w:t>
            </w:r>
          </w:p>
        </w:tc>
        <w:tc>
          <w:tcPr>
            <w:tcW w:w="1559" w:type="dxa"/>
            <w:tcBorders>
              <w:top w:val="nil"/>
              <w:left w:val="nil"/>
              <w:bottom w:val="nil"/>
              <w:right w:val="single" w:sz="4" w:space="0" w:color="000000"/>
            </w:tcBorders>
            <w:shd w:val="clear" w:color="auto" w:fill="auto"/>
            <w:noWrap/>
            <w:vAlign w:val="bottom"/>
            <w:hideMark/>
          </w:tcPr>
          <w:p w14:paraId="7E9CC16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0.11</w:t>
            </w:r>
          </w:p>
        </w:tc>
      </w:tr>
      <w:tr w:rsidR="00FB554B" w:rsidRPr="003C3240" w14:paraId="24338E04" w14:textId="77777777" w:rsidTr="006C059E">
        <w:trPr>
          <w:trHeight w:val="320"/>
        </w:trPr>
        <w:tc>
          <w:tcPr>
            <w:tcW w:w="1560" w:type="dxa"/>
            <w:vMerge/>
            <w:tcBorders>
              <w:top w:val="nil"/>
              <w:left w:val="single" w:sz="4" w:space="0" w:color="auto"/>
              <w:bottom w:val="single" w:sz="4" w:space="0" w:color="auto"/>
              <w:right w:val="single" w:sz="4" w:space="0" w:color="auto"/>
            </w:tcBorders>
            <w:vAlign w:val="center"/>
            <w:hideMark/>
          </w:tcPr>
          <w:p w14:paraId="43408EBC"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single" w:sz="4" w:space="0" w:color="auto"/>
              <w:right w:val="nil"/>
            </w:tcBorders>
            <w:shd w:val="clear" w:color="auto" w:fill="auto"/>
            <w:noWrap/>
            <w:vAlign w:val="bottom"/>
            <w:hideMark/>
          </w:tcPr>
          <w:p w14:paraId="1EB087FC"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Peptidiphaga gingivicola</w:t>
            </w:r>
          </w:p>
        </w:tc>
        <w:tc>
          <w:tcPr>
            <w:tcW w:w="1984" w:type="dxa"/>
            <w:tcBorders>
              <w:top w:val="nil"/>
              <w:left w:val="nil"/>
              <w:bottom w:val="single" w:sz="4" w:space="0" w:color="auto"/>
              <w:right w:val="nil"/>
            </w:tcBorders>
            <w:shd w:val="clear" w:color="auto" w:fill="auto"/>
            <w:noWrap/>
            <w:vAlign w:val="bottom"/>
            <w:hideMark/>
          </w:tcPr>
          <w:p w14:paraId="755D7F2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0.43</w:t>
            </w:r>
          </w:p>
        </w:tc>
        <w:tc>
          <w:tcPr>
            <w:tcW w:w="1276" w:type="dxa"/>
            <w:tcBorders>
              <w:top w:val="nil"/>
              <w:left w:val="nil"/>
              <w:bottom w:val="single" w:sz="4" w:space="0" w:color="auto"/>
              <w:right w:val="nil"/>
            </w:tcBorders>
            <w:shd w:val="clear" w:color="auto" w:fill="auto"/>
            <w:noWrap/>
            <w:vAlign w:val="bottom"/>
            <w:hideMark/>
          </w:tcPr>
          <w:p w14:paraId="1EE4B6C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0.15</w:t>
            </w:r>
          </w:p>
        </w:tc>
        <w:tc>
          <w:tcPr>
            <w:tcW w:w="1559" w:type="dxa"/>
            <w:tcBorders>
              <w:top w:val="nil"/>
              <w:left w:val="nil"/>
              <w:bottom w:val="single" w:sz="4" w:space="0" w:color="auto"/>
              <w:right w:val="single" w:sz="4" w:space="0" w:color="000000"/>
            </w:tcBorders>
            <w:shd w:val="clear" w:color="auto" w:fill="auto"/>
            <w:noWrap/>
            <w:vAlign w:val="bottom"/>
            <w:hideMark/>
          </w:tcPr>
          <w:p w14:paraId="474459B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0.11</w:t>
            </w:r>
          </w:p>
        </w:tc>
      </w:tr>
      <w:tr w:rsidR="00FB554B" w:rsidRPr="003C3240" w14:paraId="201C078B" w14:textId="77777777" w:rsidTr="006C059E">
        <w:trPr>
          <w:trHeight w:val="32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8DBE792" w14:textId="77777777" w:rsidR="00FB554B" w:rsidRPr="003C3240" w:rsidRDefault="00FB554B" w:rsidP="006C059E">
            <w:pPr>
              <w:jc w:val="center"/>
              <w:rPr>
                <w:rFonts w:ascii="Times New Roman" w:hAnsi="Times New Roman" w:cs="Times New Roman"/>
                <w:b/>
                <w:bCs/>
                <w:color w:val="000000"/>
              </w:rPr>
            </w:pPr>
            <w:r w:rsidRPr="003C3240">
              <w:rPr>
                <w:rFonts w:ascii="Times New Roman" w:hAnsi="Times New Roman" w:cs="Times New Roman"/>
                <w:b/>
                <w:bCs/>
                <w:color w:val="000000"/>
              </w:rPr>
              <w:t>TeethPPD6</w:t>
            </w:r>
          </w:p>
        </w:tc>
        <w:tc>
          <w:tcPr>
            <w:tcW w:w="3397" w:type="dxa"/>
            <w:tcBorders>
              <w:top w:val="nil"/>
              <w:left w:val="nil"/>
              <w:bottom w:val="single" w:sz="4" w:space="0" w:color="auto"/>
              <w:right w:val="nil"/>
            </w:tcBorders>
            <w:shd w:val="clear" w:color="auto" w:fill="auto"/>
            <w:noWrap/>
            <w:vAlign w:val="bottom"/>
            <w:hideMark/>
          </w:tcPr>
          <w:p w14:paraId="574FCE1D"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Capnocytophaga</w:t>
            </w:r>
          </w:p>
        </w:tc>
        <w:tc>
          <w:tcPr>
            <w:tcW w:w="1984" w:type="dxa"/>
            <w:tcBorders>
              <w:top w:val="nil"/>
              <w:left w:val="nil"/>
              <w:bottom w:val="single" w:sz="4" w:space="0" w:color="auto"/>
              <w:right w:val="nil"/>
            </w:tcBorders>
            <w:shd w:val="clear" w:color="auto" w:fill="auto"/>
            <w:noWrap/>
            <w:vAlign w:val="bottom"/>
            <w:hideMark/>
          </w:tcPr>
          <w:p w14:paraId="2BA314F7"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-0.43</w:t>
            </w:r>
          </w:p>
        </w:tc>
        <w:tc>
          <w:tcPr>
            <w:tcW w:w="1276" w:type="dxa"/>
            <w:tcBorders>
              <w:top w:val="nil"/>
              <w:left w:val="nil"/>
              <w:bottom w:val="single" w:sz="4" w:space="0" w:color="auto"/>
              <w:right w:val="nil"/>
            </w:tcBorders>
            <w:shd w:val="clear" w:color="auto" w:fill="auto"/>
            <w:noWrap/>
            <w:vAlign w:val="bottom"/>
            <w:hideMark/>
          </w:tcPr>
          <w:p w14:paraId="2A6806D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0.13</w:t>
            </w:r>
          </w:p>
        </w:tc>
        <w:tc>
          <w:tcPr>
            <w:tcW w:w="1559" w:type="dxa"/>
            <w:tcBorders>
              <w:top w:val="nil"/>
              <w:left w:val="nil"/>
              <w:bottom w:val="single" w:sz="4" w:space="0" w:color="auto"/>
              <w:right w:val="single" w:sz="4" w:space="0" w:color="000000"/>
            </w:tcBorders>
            <w:shd w:val="clear" w:color="auto" w:fill="auto"/>
            <w:noWrap/>
            <w:vAlign w:val="bottom"/>
            <w:hideMark/>
          </w:tcPr>
          <w:p w14:paraId="73DA7DE1"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0.09</w:t>
            </w:r>
          </w:p>
        </w:tc>
      </w:tr>
      <w:tr w:rsidR="00FB554B" w:rsidRPr="003C3240" w14:paraId="5CA93BD3" w14:textId="77777777" w:rsidTr="006C059E">
        <w:trPr>
          <w:trHeight w:val="320"/>
        </w:trPr>
        <w:tc>
          <w:tcPr>
            <w:tcW w:w="156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6E5A1B10" w14:textId="77777777" w:rsidR="00FB554B" w:rsidRPr="003C3240" w:rsidRDefault="00FB554B" w:rsidP="006C059E">
            <w:pPr>
              <w:rPr>
                <w:rFonts w:ascii="Times New Roman" w:hAnsi="Times New Roman" w:cs="Times New Roman"/>
                <w:b/>
                <w:bCs/>
                <w:color w:val="000000"/>
              </w:rPr>
            </w:pPr>
            <w:r w:rsidRPr="003C3240">
              <w:rPr>
                <w:rFonts w:ascii="Times New Roman" w:hAnsi="Times New Roman" w:cs="Times New Roman"/>
                <w:b/>
                <w:bCs/>
                <w:color w:val="000000"/>
              </w:rPr>
              <w:t>Loose teeth</w:t>
            </w:r>
          </w:p>
        </w:tc>
        <w:tc>
          <w:tcPr>
            <w:tcW w:w="3397" w:type="dxa"/>
            <w:tcBorders>
              <w:top w:val="nil"/>
              <w:left w:val="nil"/>
              <w:bottom w:val="nil"/>
              <w:right w:val="nil"/>
            </w:tcBorders>
            <w:shd w:val="clear" w:color="auto" w:fill="auto"/>
            <w:noWrap/>
            <w:vAlign w:val="bottom"/>
            <w:hideMark/>
          </w:tcPr>
          <w:p w14:paraId="11CD1E2A"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Haemophilus parainfluenzae</w:t>
            </w:r>
          </w:p>
        </w:tc>
        <w:tc>
          <w:tcPr>
            <w:tcW w:w="1984" w:type="dxa"/>
            <w:tcBorders>
              <w:top w:val="nil"/>
              <w:left w:val="nil"/>
              <w:bottom w:val="nil"/>
              <w:right w:val="nil"/>
            </w:tcBorders>
            <w:shd w:val="clear" w:color="auto" w:fill="auto"/>
            <w:noWrap/>
            <w:vAlign w:val="bottom"/>
            <w:hideMark/>
          </w:tcPr>
          <w:p w14:paraId="050AF3B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-0.91</w:t>
            </w:r>
          </w:p>
        </w:tc>
        <w:tc>
          <w:tcPr>
            <w:tcW w:w="1276" w:type="dxa"/>
            <w:tcBorders>
              <w:top w:val="nil"/>
              <w:left w:val="nil"/>
              <w:bottom w:val="nil"/>
              <w:right w:val="nil"/>
            </w:tcBorders>
            <w:shd w:val="clear" w:color="auto" w:fill="auto"/>
            <w:noWrap/>
            <w:vAlign w:val="bottom"/>
            <w:hideMark/>
          </w:tcPr>
          <w:p w14:paraId="1034B81B"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0.28</w:t>
            </w:r>
          </w:p>
        </w:tc>
        <w:tc>
          <w:tcPr>
            <w:tcW w:w="1559" w:type="dxa"/>
            <w:tcBorders>
              <w:top w:val="nil"/>
              <w:left w:val="nil"/>
              <w:bottom w:val="nil"/>
              <w:right w:val="single" w:sz="4" w:space="0" w:color="000000"/>
            </w:tcBorders>
            <w:shd w:val="clear" w:color="auto" w:fill="auto"/>
            <w:noWrap/>
            <w:vAlign w:val="bottom"/>
            <w:hideMark/>
          </w:tcPr>
          <w:p w14:paraId="5187AA9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5D0B638E"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6368F1FB"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4C180C57"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Prevotellaceae</w:t>
            </w:r>
          </w:p>
        </w:tc>
        <w:tc>
          <w:tcPr>
            <w:tcW w:w="1984" w:type="dxa"/>
            <w:tcBorders>
              <w:top w:val="nil"/>
              <w:left w:val="nil"/>
              <w:bottom w:val="nil"/>
              <w:right w:val="nil"/>
            </w:tcBorders>
            <w:shd w:val="clear" w:color="auto" w:fill="auto"/>
            <w:noWrap/>
            <w:vAlign w:val="bottom"/>
            <w:hideMark/>
          </w:tcPr>
          <w:p w14:paraId="519E3D7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-1.17</w:t>
            </w:r>
          </w:p>
        </w:tc>
        <w:tc>
          <w:tcPr>
            <w:tcW w:w="1276" w:type="dxa"/>
            <w:tcBorders>
              <w:top w:val="nil"/>
              <w:left w:val="nil"/>
              <w:bottom w:val="nil"/>
              <w:right w:val="nil"/>
            </w:tcBorders>
            <w:shd w:val="clear" w:color="auto" w:fill="auto"/>
            <w:noWrap/>
            <w:vAlign w:val="bottom"/>
            <w:hideMark/>
          </w:tcPr>
          <w:p w14:paraId="3EAA0D73"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0.24</w:t>
            </w:r>
          </w:p>
        </w:tc>
        <w:tc>
          <w:tcPr>
            <w:tcW w:w="1559" w:type="dxa"/>
            <w:tcBorders>
              <w:top w:val="nil"/>
              <w:left w:val="nil"/>
              <w:bottom w:val="nil"/>
              <w:right w:val="single" w:sz="4" w:space="0" w:color="000000"/>
            </w:tcBorders>
            <w:shd w:val="clear" w:color="auto" w:fill="auto"/>
            <w:noWrap/>
            <w:vAlign w:val="bottom"/>
            <w:hideMark/>
          </w:tcPr>
          <w:p w14:paraId="1CD2C63A"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0.00</w:t>
            </w:r>
          </w:p>
        </w:tc>
      </w:tr>
      <w:tr w:rsidR="00FB554B" w:rsidRPr="003C3240" w14:paraId="0B223AFC" w14:textId="77777777" w:rsidTr="006C059E">
        <w:trPr>
          <w:trHeight w:val="680"/>
        </w:trPr>
        <w:tc>
          <w:tcPr>
            <w:tcW w:w="1560" w:type="dxa"/>
            <w:vMerge/>
            <w:tcBorders>
              <w:top w:val="nil"/>
              <w:left w:val="single" w:sz="4" w:space="0" w:color="auto"/>
              <w:bottom w:val="single" w:sz="8" w:space="0" w:color="000000"/>
              <w:right w:val="single" w:sz="4" w:space="0" w:color="auto"/>
            </w:tcBorders>
            <w:vAlign w:val="center"/>
            <w:hideMark/>
          </w:tcPr>
          <w:p w14:paraId="18F7192D"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vAlign w:val="bottom"/>
            <w:hideMark/>
          </w:tcPr>
          <w:p w14:paraId="5A8D9DFA"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Saccharibacteria genera incertae sedis</w:t>
            </w:r>
          </w:p>
        </w:tc>
        <w:tc>
          <w:tcPr>
            <w:tcW w:w="1984" w:type="dxa"/>
            <w:tcBorders>
              <w:top w:val="nil"/>
              <w:left w:val="nil"/>
              <w:bottom w:val="nil"/>
              <w:right w:val="nil"/>
            </w:tcBorders>
            <w:shd w:val="clear" w:color="auto" w:fill="auto"/>
            <w:noWrap/>
            <w:vAlign w:val="bottom"/>
            <w:hideMark/>
          </w:tcPr>
          <w:p w14:paraId="05F2565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-0.66</w:t>
            </w:r>
          </w:p>
        </w:tc>
        <w:tc>
          <w:tcPr>
            <w:tcW w:w="1276" w:type="dxa"/>
            <w:tcBorders>
              <w:top w:val="nil"/>
              <w:left w:val="nil"/>
              <w:bottom w:val="nil"/>
              <w:right w:val="nil"/>
            </w:tcBorders>
            <w:shd w:val="clear" w:color="auto" w:fill="auto"/>
            <w:noWrap/>
            <w:vAlign w:val="bottom"/>
            <w:hideMark/>
          </w:tcPr>
          <w:p w14:paraId="3CE7FFC2"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0.21</w:t>
            </w:r>
          </w:p>
        </w:tc>
        <w:tc>
          <w:tcPr>
            <w:tcW w:w="1559" w:type="dxa"/>
            <w:tcBorders>
              <w:top w:val="nil"/>
              <w:left w:val="nil"/>
              <w:bottom w:val="nil"/>
              <w:right w:val="single" w:sz="4" w:space="0" w:color="000000"/>
            </w:tcBorders>
            <w:shd w:val="clear" w:color="auto" w:fill="auto"/>
            <w:noWrap/>
            <w:vAlign w:val="bottom"/>
            <w:hideMark/>
          </w:tcPr>
          <w:p w14:paraId="2B4B8461"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0AEC4F48"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3B3D7C6F"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40DB9294"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Rothia</w:t>
            </w:r>
          </w:p>
        </w:tc>
        <w:tc>
          <w:tcPr>
            <w:tcW w:w="1984" w:type="dxa"/>
            <w:tcBorders>
              <w:top w:val="nil"/>
              <w:left w:val="nil"/>
              <w:bottom w:val="nil"/>
              <w:right w:val="nil"/>
            </w:tcBorders>
            <w:shd w:val="clear" w:color="auto" w:fill="auto"/>
            <w:noWrap/>
            <w:vAlign w:val="bottom"/>
            <w:hideMark/>
          </w:tcPr>
          <w:p w14:paraId="429312F4"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0.79</w:t>
            </w:r>
          </w:p>
        </w:tc>
        <w:tc>
          <w:tcPr>
            <w:tcW w:w="1276" w:type="dxa"/>
            <w:tcBorders>
              <w:top w:val="nil"/>
              <w:left w:val="nil"/>
              <w:bottom w:val="nil"/>
              <w:right w:val="nil"/>
            </w:tcBorders>
            <w:shd w:val="clear" w:color="auto" w:fill="auto"/>
            <w:noWrap/>
            <w:vAlign w:val="bottom"/>
            <w:hideMark/>
          </w:tcPr>
          <w:p w14:paraId="1F4AF6A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0.23</w:t>
            </w:r>
          </w:p>
        </w:tc>
        <w:tc>
          <w:tcPr>
            <w:tcW w:w="1559" w:type="dxa"/>
            <w:tcBorders>
              <w:top w:val="nil"/>
              <w:left w:val="nil"/>
              <w:bottom w:val="nil"/>
              <w:right w:val="single" w:sz="4" w:space="0" w:color="000000"/>
            </w:tcBorders>
            <w:shd w:val="clear" w:color="auto" w:fill="auto"/>
            <w:noWrap/>
            <w:vAlign w:val="bottom"/>
            <w:hideMark/>
          </w:tcPr>
          <w:p w14:paraId="19E5409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0.02</w:t>
            </w:r>
          </w:p>
        </w:tc>
      </w:tr>
      <w:tr w:rsidR="00FB554B" w:rsidRPr="003C3240" w14:paraId="00C515AA"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26AA2FE2"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69FBC9D0"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Fusobacterium watanabei</w:t>
            </w:r>
          </w:p>
        </w:tc>
        <w:tc>
          <w:tcPr>
            <w:tcW w:w="1984" w:type="dxa"/>
            <w:tcBorders>
              <w:top w:val="nil"/>
              <w:left w:val="nil"/>
              <w:bottom w:val="nil"/>
              <w:right w:val="nil"/>
            </w:tcBorders>
            <w:shd w:val="clear" w:color="auto" w:fill="auto"/>
            <w:noWrap/>
            <w:vAlign w:val="bottom"/>
            <w:hideMark/>
          </w:tcPr>
          <w:p w14:paraId="7B7A332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1.32</w:t>
            </w:r>
          </w:p>
        </w:tc>
        <w:tc>
          <w:tcPr>
            <w:tcW w:w="1276" w:type="dxa"/>
            <w:tcBorders>
              <w:top w:val="nil"/>
              <w:left w:val="nil"/>
              <w:bottom w:val="nil"/>
              <w:right w:val="nil"/>
            </w:tcBorders>
            <w:shd w:val="clear" w:color="auto" w:fill="auto"/>
            <w:noWrap/>
            <w:vAlign w:val="bottom"/>
            <w:hideMark/>
          </w:tcPr>
          <w:p w14:paraId="1A099CB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0.36</w:t>
            </w:r>
          </w:p>
        </w:tc>
        <w:tc>
          <w:tcPr>
            <w:tcW w:w="1559" w:type="dxa"/>
            <w:tcBorders>
              <w:top w:val="nil"/>
              <w:left w:val="nil"/>
              <w:bottom w:val="nil"/>
              <w:right w:val="single" w:sz="4" w:space="0" w:color="000000"/>
            </w:tcBorders>
            <w:shd w:val="clear" w:color="auto" w:fill="auto"/>
            <w:noWrap/>
            <w:vAlign w:val="bottom"/>
            <w:hideMark/>
          </w:tcPr>
          <w:p w14:paraId="7DCEC76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0.02</w:t>
            </w:r>
          </w:p>
        </w:tc>
      </w:tr>
      <w:tr w:rsidR="00FB554B" w:rsidRPr="003C3240" w14:paraId="68F33F65"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23DCBA74"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65E9C79C"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Pseudoleptotrichia</w:t>
            </w:r>
          </w:p>
        </w:tc>
        <w:tc>
          <w:tcPr>
            <w:tcW w:w="1984" w:type="dxa"/>
            <w:tcBorders>
              <w:top w:val="nil"/>
              <w:left w:val="nil"/>
              <w:bottom w:val="nil"/>
              <w:right w:val="nil"/>
            </w:tcBorders>
            <w:shd w:val="clear" w:color="auto" w:fill="auto"/>
            <w:noWrap/>
            <w:vAlign w:val="bottom"/>
            <w:hideMark/>
          </w:tcPr>
          <w:p w14:paraId="549B9E5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-1.20</w:t>
            </w:r>
          </w:p>
        </w:tc>
        <w:tc>
          <w:tcPr>
            <w:tcW w:w="1276" w:type="dxa"/>
            <w:tcBorders>
              <w:top w:val="nil"/>
              <w:left w:val="nil"/>
              <w:bottom w:val="nil"/>
              <w:right w:val="nil"/>
            </w:tcBorders>
            <w:shd w:val="clear" w:color="auto" w:fill="auto"/>
            <w:noWrap/>
            <w:vAlign w:val="bottom"/>
            <w:hideMark/>
          </w:tcPr>
          <w:p w14:paraId="7116A96D"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0.44</w:t>
            </w:r>
          </w:p>
        </w:tc>
        <w:tc>
          <w:tcPr>
            <w:tcW w:w="1559" w:type="dxa"/>
            <w:tcBorders>
              <w:top w:val="nil"/>
              <w:left w:val="nil"/>
              <w:bottom w:val="nil"/>
              <w:right w:val="single" w:sz="4" w:space="0" w:color="000000"/>
            </w:tcBorders>
            <w:shd w:val="clear" w:color="auto" w:fill="auto"/>
            <w:noWrap/>
            <w:vAlign w:val="bottom"/>
            <w:hideMark/>
          </w:tcPr>
          <w:p w14:paraId="0D6EA66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0.09</w:t>
            </w:r>
          </w:p>
        </w:tc>
      </w:tr>
      <w:tr w:rsidR="00FB554B" w:rsidRPr="003C3240" w14:paraId="1597C84C"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56D3EE71"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1B6F3C58"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Tannerella forsythia</w:t>
            </w:r>
          </w:p>
        </w:tc>
        <w:tc>
          <w:tcPr>
            <w:tcW w:w="1984" w:type="dxa"/>
            <w:tcBorders>
              <w:top w:val="nil"/>
              <w:left w:val="nil"/>
              <w:bottom w:val="nil"/>
              <w:right w:val="nil"/>
            </w:tcBorders>
            <w:shd w:val="clear" w:color="auto" w:fill="auto"/>
            <w:noWrap/>
            <w:vAlign w:val="bottom"/>
            <w:hideMark/>
          </w:tcPr>
          <w:p w14:paraId="156AC6E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1.13</w:t>
            </w:r>
          </w:p>
        </w:tc>
        <w:tc>
          <w:tcPr>
            <w:tcW w:w="1276" w:type="dxa"/>
            <w:tcBorders>
              <w:top w:val="nil"/>
              <w:left w:val="nil"/>
              <w:bottom w:val="nil"/>
              <w:right w:val="nil"/>
            </w:tcBorders>
            <w:shd w:val="clear" w:color="auto" w:fill="auto"/>
            <w:noWrap/>
            <w:vAlign w:val="bottom"/>
            <w:hideMark/>
          </w:tcPr>
          <w:p w14:paraId="3C5D319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0.34</w:t>
            </w:r>
          </w:p>
        </w:tc>
        <w:tc>
          <w:tcPr>
            <w:tcW w:w="1559" w:type="dxa"/>
            <w:tcBorders>
              <w:top w:val="nil"/>
              <w:left w:val="nil"/>
              <w:bottom w:val="nil"/>
              <w:right w:val="single" w:sz="4" w:space="0" w:color="000000"/>
            </w:tcBorders>
            <w:shd w:val="clear" w:color="auto" w:fill="auto"/>
            <w:noWrap/>
            <w:vAlign w:val="bottom"/>
            <w:hideMark/>
          </w:tcPr>
          <w:p w14:paraId="5E44EF28"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57D6C016"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7AEBBB43"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407BE743"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Prevotella dentalis</w:t>
            </w:r>
          </w:p>
        </w:tc>
        <w:tc>
          <w:tcPr>
            <w:tcW w:w="1984" w:type="dxa"/>
            <w:tcBorders>
              <w:top w:val="nil"/>
              <w:left w:val="nil"/>
              <w:bottom w:val="nil"/>
              <w:right w:val="nil"/>
            </w:tcBorders>
            <w:shd w:val="clear" w:color="auto" w:fill="auto"/>
            <w:noWrap/>
            <w:vAlign w:val="bottom"/>
            <w:hideMark/>
          </w:tcPr>
          <w:p w14:paraId="6C63BACC"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0.90</w:t>
            </w:r>
          </w:p>
        </w:tc>
        <w:tc>
          <w:tcPr>
            <w:tcW w:w="1276" w:type="dxa"/>
            <w:tcBorders>
              <w:top w:val="nil"/>
              <w:left w:val="nil"/>
              <w:bottom w:val="nil"/>
              <w:right w:val="nil"/>
            </w:tcBorders>
            <w:shd w:val="clear" w:color="auto" w:fill="auto"/>
            <w:noWrap/>
            <w:vAlign w:val="bottom"/>
            <w:hideMark/>
          </w:tcPr>
          <w:p w14:paraId="49020C8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0.31</w:t>
            </w:r>
          </w:p>
        </w:tc>
        <w:tc>
          <w:tcPr>
            <w:tcW w:w="1559" w:type="dxa"/>
            <w:tcBorders>
              <w:top w:val="nil"/>
              <w:left w:val="nil"/>
              <w:bottom w:val="nil"/>
              <w:right w:val="single" w:sz="4" w:space="0" w:color="000000"/>
            </w:tcBorders>
            <w:shd w:val="clear" w:color="auto" w:fill="auto"/>
            <w:noWrap/>
            <w:vAlign w:val="bottom"/>
            <w:hideMark/>
          </w:tcPr>
          <w:p w14:paraId="6EA8ABE1"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0.06</w:t>
            </w:r>
          </w:p>
        </w:tc>
      </w:tr>
      <w:tr w:rsidR="00FB554B" w:rsidRPr="003C3240" w14:paraId="72BA6C7B"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6493F4D1"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1B23D430"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Metaprevotella</w:t>
            </w:r>
          </w:p>
        </w:tc>
        <w:tc>
          <w:tcPr>
            <w:tcW w:w="1984" w:type="dxa"/>
            <w:tcBorders>
              <w:top w:val="nil"/>
              <w:left w:val="nil"/>
              <w:bottom w:val="nil"/>
              <w:right w:val="nil"/>
            </w:tcBorders>
            <w:shd w:val="clear" w:color="auto" w:fill="auto"/>
            <w:noWrap/>
            <w:vAlign w:val="bottom"/>
            <w:hideMark/>
          </w:tcPr>
          <w:p w14:paraId="488FFC3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1.08</w:t>
            </w:r>
          </w:p>
        </w:tc>
        <w:tc>
          <w:tcPr>
            <w:tcW w:w="1276" w:type="dxa"/>
            <w:tcBorders>
              <w:top w:val="nil"/>
              <w:left w:val="nil"/>
              <w:bottom w:val="nil"/>
              <w:right w:val="nil"/>
            </w:tcBorders>
            <w:shd w:val="clear" w:color="auto" w:fill="auto"/>
            <w:noWrap/>
            <w:vAlign w:val="bottom"/>
            <w:hideMark/>
          </w:tcPr>
          <w:p w14:paraId="56CCC950"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0.37</w:t>
            </w:r>
          </w:p>
        </w:tc>
        <w:tc>
          <w:tcPr>
            <w:tcW w:w="1559" w:type="dxa"/>
            <w:tcBorders>
              <w:top w:val="nil"/>
              <w:left w:val="nil"/>
              <w:bottom w:val="nil"/>
              <w:right w:val="single" w:sz="4" w:space="0" w:color="000000"/>
            </w:tcBorders>
            <w:shd w:val="clear" w:color="auto" w:fill="auto"/>
            <w:noWrap/>
            <w:vAlign w:val="bottom"/>
            <w:hideMark/>
          </w:tcPr>
          <w:p w14:paraId="0953E66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0.06</w:t>
            </w:r>
          </w:p>
        </w:tc>
      </w:tr>
      <w:tr w:rsidR="00FB554B" w:rsidRPr="003C3240" w14:paraId="07AD392A"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74E0A8EF"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69BDDB92"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Fretibacterium</w:t>
            </w:r>
          </w:p>
        </w:tc>
        <w:tc>
          <w:tcPr>
            <w:tcW w:w="1984" w:type="dxa"/>
            <w:tcBorders>
              <w:top w:val="nil"/>
              <w:left w:val="nil"/>
              <w:bottom w:val="nil"/>
              <w:right w:val="nil"/>
            </w:tcBorders>
            <w:shd w:val="clear" w:color="auto" w:fill="auto"/>
            <w:noWrap/>
            <w:vAlign w:val="bottom"/>
            <w:hideMark/>
          </w:tcPr>
          <w:p w14:paraId="339D6EE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1.27</w:t>
            </w:r>
          </w:p>
        </w:tc>
        <w:tc>
          <w:tcPr>
            <w:tcW w:w="1276" w:type="dxa"/>
            <w:tcBorders>
              <w:top w:val="nil"/>
              <w:left w:val="nil"/>
              <w:bottom w:val="nil"/>
              <w:right w:val="nil"/>
            </w:tcBorders>
            <w:shd w:val="clear" w:color="auto" w:fill="auto"/>
            <w:noWrap/>
            <w:vAlign w:val="bottom"/>
            <w:hideMark/>
          </w:tcPr>
          <w:p w14:paraId="39B40E8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0.35</w:t>
            </w:r>
          </w:p>
        </w:tc>
        <w:tc>
          <w:tcPr>
            <w:tcW w:w="1559" w:type="dxa"/>
            <w:tcBorders>
              <w:top w:val="nil"/>
              <w:left w:val="nil"/>
              <w:bottom w:val="nil"/>
              <w:right w:val="single" w:sz="4" w:space="0" w:color="000000"/>
            </w:tcBorders>
            <w:shd w:val="clear" w:color="auto" w:fill="auto"/>
            <w:noWrap/>
            <w:vAlign w:val="bottom"/>
            <w:hideMark/>
          </w:tcPr>
          <w:p w14:paraId="4B9E018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0.02</w:t>
            </w:r>
          </w:p>
        </w:tc>
      </w:tr>
      <w:tr w:rsidR="00FB554B" w:rsidRPr="003C3240" w14:paraId="26589278" w14:textId="77777777" w:rsidTr="006C059E">
        <w:trPr>
          <w:trHeight w:val="320"/>
        </w:trPr>
        <w:tc>
          <w:tcPr>
            <w:tcW w:w="1560" w:type="dxa"/>
            <w:vMerge/>
            <w:tcBorders>
              <w:top w:val="nil"/>
              <w:left w:val="single" w:sz="4" w:space="0" w:color="auto"/>
              <w:bottom w:val="single" w:sz="8" w:space="0" w:color="000000"/>
              <w:right w:val="single" w:sz="4" w:space="0" w:color="auto"/>
            </w:tcBorders>
            <w:vAlign w:val="center"/>
            <w:hideMark/>
          </w:tcPr>
          <w:p w14:paraId="1B76BEAD"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nil"/>
              <w:right w:val="nil"/>
            </w:tcBorders>
            <w:shd w:val="clear" w:color="auto" w:fill="auto"/>
            <w:noWrap/>
            <w:vAlign w:val="bottom"/>
            <w:hideMark/>
          </w:tcPr>
          <w:p w14:paraId="357DB217" w14:textId="77777777" w:rsidR="00FB554B" w:rsidRPr="003C3240" w:rsidRDefault="00FB554B" w:rsidP="006C059E">
            <w:pPr>
              <w:rPr>
                <w:rFonts w:ascii="Times New Roman" w:hAnsi="Times New Roman" w:cs="Times New Roman"/>
                <w:b/>
                <w:bCs/>
                <w:i/>
                <w:iCs/>
                <w:color w:val="404040"/>
              </w:rPr>
            </w:pPr>
            <w:r w:rsidRPr="003C3240">
              <w:rPr>
                <w:rFonts w:ascii="Times New Roman" w:hAnsi="Times New Roman" w:cs="Times New Roman"/>
                <w:b/>
                <w:bCs/>
                <w:i/>
                <w:iCs/>
                <w:color w:val="404040"/>
              </w:rPr>
              <w:t>Fretibacterium fastidiosum</w:t>
            </w:r>
          </w:p>
        </w:tc>
        <w:tc>
          <w:tcPr>
            <w:tcW w:w="1984" w:type="dxa"/>
            <w:tcBorders>
              <w:top w:val="nil"/>
              <w:left w:val="nil"/>
              <w:bottom w:val="nil"/>
              <w:right w:val="nil"/>
            </w:tcBorders>
            <w:shd w:val="clear" w:color="auto" w:fill="auto"/>
            <w:noWrap/>
            <w:vAlign w:val="bottom"/>
            <w:hideMark/>
          </w:tcPr>
          <w:p w14:paraId="3225DB85"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0.95</w:t>
            </w:r>
          </w:p>
        </w:tc>
        <w:tc>
          <w:tcPr>
            <w:tcW w:w="1276" w:type="dxa"/>
            <w:tcBorders>
              <w:top w:val="nil"/>
              <w:left w:val="nil"/>
              <w:bottom w:val="nil"/>
              <w:right w:val="nil"/>
            </w:tcBorders>
            <w:shd w:val="clear" w:color="auto" w:fill="auto"/>
            <w:noWrap/>
            <w:vAlign w:val="bottom"/>
            <w:hideMark/>
          </w:tcPr>
          <w:p w14:paraId="71635BE0"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0.28</w:t>
            </w:r>
          </w:p>
        </w:tc>
        <w:tc>
          <w:tcPr>
            <w:tcW w:w="1559" w:type="dxa"/>
            <w:tcBorders>
              <w:top w:val="nil"/>
              <w:left w:val="nil"/>
              <w:bottom w:val="nil"/>
              <w:right w:val="single" w:sz="4" w:space="0" w:color="000000"/>
            </w:tcBorders>
            <w:shd w:val="clear" w:color="auto" w:fill="auto"/>
            <w:noWrap/>
            <w:vAlign w:val="bottom"/>
            <w:hideMark/>
          </w:tcPr>
          <w:p w14:paraId="0BC8830F"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0.03</w:t>
            </w:r>
          </w:p>
        </w:tc>
      </w:tr>
      <w:tr w:rsidR="00FB554B" w:rsidRPr="003C3240" w14:paraId="0A7475EF" w14:textId="77777777" w:rsidTr="006C059E">
        <w:trPr>
          <w:trHeight w:val="340"/>
        </w:trPr>
        <w:tc>
          <w:tcPr>
            <w:tcW w:w="1560" w:type="dxa"/>
            <w:vMerge/>
            <w:tcBorders>
              <w:top w:val="nil"/>
              <w:left w:val="single" w:sz="4" w:space="0" w:color="auto"/>
              <w:bottom w:val="single" w:sz="8" w:space="0" w:color="000000"/>
              <w:right w:val="single" w:sz="4" w:space="0" w:color="auto"/>
            </w:tcBorders>
            <w:vAlign w:val="center"/>
            <w:hideMark/>
          </w:tcPr>
          <w:p w14:paraId="2EF7CC07" w14:textId="77777777" w:rsidR="00FB554B" w:rsidRPr="003C3240" w:rsidRDefault="00FB554B" w:rsidP="006C059E">
            <w:pPr>
              <w:rPr>
                <w:rFonts w:ascii="Times New Roman" w:hAnsi="Times New Roman" w:cs="Times New Roman"/>
                <w:b/>
                <w:bCs/>
                <w:color w:val="000000"/>
              </w:rPr>
            </w:pPr>
          </w:p>
        </w:tc>
        <w:tc>
          <w:tcPr>
            <w:tcW w:w="3397" w:type="dxa"/>
            <w:tcBorders>
              <w:top w:val="nil"/>
              <w:left w:val="nil"/>
              <w:bottom w:val="single" w:sz="8" w:space="0" w:color="auto"/>
              <w:right w:val="nil"/>
            </w:tcBorders>
            <w:shd w:val="clear" w:color="auto" w:fill="auto"/>
            <w:noWrap/>
            <w:vAlign w:val="bottom"/>
            <w:hideMark/>
          </w:tcPr>
          <w:p w14:paraId="735AF87D" w14:textId="77777777" w:rsidR="00FB554B" w:rsidRPr="003C3240" w:rsidRDefault="00FB554B" w:rsidP="006C059E">
            <w:pPr>
              <w:rPr>
                <w:rFonts w:ascii="Times New Roman" w:hAnsi="Times New Roman" w:cs="Times New Roman"/>
                <w:i/>
                <w:iCs/>
                <w:color w:val="000000"/>
              </w:rPr>
            </w:pPr>
            <w:r w:rsidRPr="003C3240">
              <w:rPr>
                <w:rFonts w:ascii="Times New Roman" w:hAnsi="Times New Roman" w:cs="Times New Roman"/>
                <w:i/>
                <w:iCs/>
                <w:color w:val="000000"/>
              </w:rPr>
              <w:t>Phocaeicola abscessus</w:t>
            </w:r>
          </w:p>
        </w:tc>
        <w:tc>
          <w:tcPr>
            <w:tcW w:w="1984" w:type="dxa"/>
            <w:tcBorders>
              <w:top w:val="nil"/>
              <w:left w:val="nil"/>
              <w:bottom w:val="single" w:sz="8" w:space="0" w:color="auto"/>
              <w:right w:val="nil"/>
            </w:tcBorders>
            <w:shd w:val="clear" w:color="auto" w:fill="auto"/>
            <w:noWrap/>
            <w:vAlign w:val="bottom"/>
            <w:hideMark/>
          </w:tcPr>
          <w:p w14:paraId="03FBCC59"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0.58</w:t>
            </w:r>
          </w:p>
        </w:tc>
        <w:tc>
          <w:tcPr>
            <w:tcW w:w="1276" w:type="dxa"/>
            <w:tcBorders>
              <w:top w:val="nil"/>
              <w:left w:val="nil"/>
              <w:bottom w:val="single" w:sz="8" w:space="0" w:color="auto"/>
              <w:right w:val="nil"/>
            </w:tcBorders>
            <w:shd w:val="clear" w:color="auto" w:fill="auto"/>
            <w:noWrap/>
            <w:vAlign w:val="bottom"/>
            <w:hideMark/>
          </w:tcPr>
          <w:p w14:paraId="6DDB2C66"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0.19</w:t>
            </w:r>
          </w:p>
        </w:tc>
        <w:tc>
          <w:tcPr>
            <w:tcW w:w="1559" w:type="dxa"/>
            <w:tcBorders>
              <w:top w:val="nil"/>
              <w:left w:val="nil"/>
              <w:bottom w:val="single" w:sz="8" w:space="0" w:color="auto"/>
              <w:right w:val="single" w:sz="4" w:space="0" w:color="000000"/>
            </w:tcBorders>
            <w:shd w:val="clear" w:color="auto" w:fill="auto"/>
            <w:noWrap/>
            <w:vAlign w:val="bottom"/>
            <w:hideMark/>
          </w:tcPr>
          <w:p w14:paraId="0C433C7E" w14:textId="77777777" w:rsidR="00FB554B" w:rsidRPr="003C3240" w:rsidRDefault="00FB554B" w:rsidP="006C059E">
            <w:pPr>
              <w:jc w:val="center"/>
              <w:rPr>
                <w:rFonts w:ascii="Times New Roman" w:hAnsi="Times New Roman" w:cs="Times New Roman"/>
                <w:color w:val="000000"/>
              </w:rPr>
            </w:pPr>
            <w:r w:rsidRPr="003C3240">
              <w:rPr>
                <w:rFonts w:ascii="Times New Roman" w:hAnsi="Times New Roman" w:cs="Times New Roman"/>
                <w:color w:val="000000"/>
              </w:rPr>
              <w:t>0.05</w:t>
            </w:r>
          </w:p>
        </w:tc>
      </w:tr>
    </w:tbl>
    <w:p w14:paraId="1D308D63" w14:textId="77777777" w:rsidR="00FB554B" w:rsidRPr="003C3240" w:rsidRDefault="00FB554B">
      <w:pPr>
        <w:rPr>
          <w:rFonts w:ascii="Times New Roman" w:hAnsi="Times New Roman" w:cs="Times New Roman"/>
          <w:lang w:val="en-US"/>
        </w:rPr>
      </w:pPr>
    </w:p>
    <w:sectPr w:rsidR="00FB554B" w:rsidRPr="003C3240" w:rsidSect="004052F0">
      <w:pgSz w:w="11900" w:h="16840"/>
      <w:pgMar w:top="1104" w:right="1440" w:bottom="111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54B"/>
    <w:rsid w:val="0028740C"/>
    <w:rsid w:val="002F3BF0"/>
    <w:rsid w:val="0032573A"/>
    <w:rsid w:val="00344066"/>
    <w:rsid w:val="003C3240"/>
    <w:rsid w:val="004052F0"/>
    <w:rsid w:val="00610322"/>
    <w:rsid w:val="0069236F"/>
    <w:rsid w:val="006C059E"/>
    <w:rsid w:val="006D74A9"/>
    <w:rsid w:val="006F4598"/>
    <w:rsid w:val="007C6309"/>
    <w:rsid w:val="008004E7"/>
    <w:rsid w:val="00822254"/>
    <w:rsid w:val="00960A28"/>
    <w:rsid w:val="00C93F08"/>
    <w:rsid w:val="00FB554B"/>
    <w:rsid w:val="00FD35B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68F48A13"/>
  <w15:chartTrackingRefBased/>
  <w15:docId w15:val="{B76F14A9-A282-AD4E-9CBA-38A89FDC7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1532</Words>
  <Characters>8734</Characters>
  <Application>Microsoft Office Word</Application>
  <DocSecurity>0</DocSecurity>
  <Lines>72</Lines>
  <Paragraphs>20</Paragraphs>
  <ScaleCrop>false</ScaleCrop>
  <Company/>
  <LinksUpToDate>false</LinksUpToDate>
  <CharactersWithSpaces>10246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Stefanie Malan</dc:creator>
  <cp:keywords/>
  <dc:description/>
  <cp:lastModifiedBy>Stefanie Malan</cp:lastModifiedBy>
  <cp:revision>16</cp:revision>
  <dcterms:created xsi:type="dcterms:W3CDTF">2024-03-19T14:57:00Z</dcterms:created>
  <dcterms:modified xsi:type="dcterms:W3CDTF">2024-04-12T10:27:00Z</dcterms:modified>
</cp:coreProperties>
</file>