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EE3769" w14:textId="72208091" w:rsidR="00967712" w:rsidRPr="00967712" w:rsidRDefault="00967712" w:rsidP="00967712">
      <w:pPr>
        <w:spacing w:after="0" w:line="480" w:lineRule="auto"/>
        <w:rPr>
          <w:rFonts w:ascii="Times New Roman" w:eastAsia="Times New Roman" w:hAnsi="Times New Roman" w:cs="Times New Roman"/>
          <w:b/>
          <w:sz w:val="24"/>
          <w:szCs w:val="24"/>
          <w:lang w:val="en-GB"/>
        </w:rPr>
      </w:pPr>
      <w:r w:rsidRPr="00967712">
        <w:rPr>
          <w:rFonts w:ascii="Times New Roman" w:eastAsia="Times New Roman" w:hAnsi="Times New Roman" w:cs="Times New Roman"/>
          <w:b/>
          <w:sz w:val="24"/>
          <w:szCs w:val="24"/>
          <w:lang w:val="en-GB"/>
        </w:rPr>
        <w:t xml:space="preserve">Additional File </w:t>
      </w:r>
      <w:r>
        <w:rPr>
          <w:rFonts w:ascii="Times New Roman" w:eastAsia="Times New Roman" w:hAnsi="Times New Roman" w:cs="Times New Roman"/>
          <w:b/>
          <w:sz w:val="24"/>
          <w:szCs w:val="24"/>
          <w:lang w:val="en-GB"/>
        </w:rPr>
        <w:t>2</w:t>
      </w:r>
      <w:r w:rsidRPr="00967712">
        <w:rPr>
          <w:rFonts w:ascii="Times New Roman" w:eastAsia="Times New Roman" w:hAnsi="Times New Roman" w:cs="Times New Roman"/>
          <w:b/>
          <w:sz w:val="24"/>
          <w:szCs w:val="24"/>
          <w:lang w:val="en-GB"/>
        </w:rPr>
        <w:t xml:space="preserve">: </w:t>
      </w:r>
      <w:bookmarkStart w:id="0" w:name="_GoBack"/>
      <w:bookmarkEnd w:id="0"/>
      <w:r w:rsidRPr="00967712">
        <w:rPr>
          <w:rFonts w:ascii="Times New Roman" w:eastAsia="Times New Roman" w:hAnsi="Times New Roman" w:cs="Times New Roman"/>
          <w:b/>
          <w:sz w:val="24"/>
          <w:szCs w:val="24"/>
          <w:lang w:val="en-GB"/>
        </w:rPr>
        <w:t>Interaction by VUP status</w:t>
      </w:r>
    </w:p>
    <w:p w14:paraId="7AD07C4D" w14:textId="77777777" w:rsidR="00967712" w:rsidRPr="00967712" w:rsidRDefault="00967712" w:rsidP="00967712">
      <w:pPr>
        <w:spacing w:after="0" w:line="480" w:lineRule="auto"/>
        <w:rPr>
          <w:rFonts w:ascii="Times New Roman" w:eastAsia="Times New Roman" w:hAnsi="Times New Roman" w:cs="Times New Roman"/>
          <w:sz w:val="24"/>
          <w:szCs w:val="24"/>
          <w:lang w:val="en-GB"/>
        </w:rPr>
      </w:pPr>
      <w:r w:rsidRPr="00967712">
        <w:rPr>
          <w:rFonts w:ascii="Times New Roman" w:eastAsia="Times New Roman" w:hAnsi="Times New Roman" w:cs="Times New Roman"/>
          <w:sz w:val="24"/>
          <w:szCs w:val="24"/>
          <w:lang w:val="en-GB"/>
        </w:rPr>
        <w:t>Difference in the effects of the intervention emerged between cPW and ePW households on the HOME inventory (</w:t>
      </w:r>
      <w:r w:rsidRPr="00967712">
        <w:rPr>
          <w:rFonts w:ascii="Times New Roman" w:eastAsia="Times New Roman" w:hAnsi="Times New Roman" w:cs="Times New Roman"/>
          <w:i/>
          <w:sz w:val="24"/>
          <w:szCs w:val="24"/>
          <w:lang w:val="en-GB"/>
        </w:rPr>
        <w:t>p</w:t>
      </w:r>
      <w:r w:rsidRPr="00967712">
        <w:rPr>
          <w:rFonts w:ascii="Times New Roman" w:eastAsia="Times New Roman" w:hAnsi="Times New Roman" w:cs="Times New Roman"/>
          <w:sz w:val="24"/>
          <w:szCs w:val="24"/>
          <w:lang w:val="en-GB"/>
        </w:rPr>
        <w:t>=0.002), shared decision making about what to do when a child is sick (</w:t>
      </w:r>
      <w:r w:rsidRPr="00967712">
        <w:rPr>
          <w:rFonts w:ascii="Times New Roman" w:eastAsia="Times New Roman" w:hAnsi="Times New Roman" w:cs="Times New Roman"/>
          <w:i/>
          <w:sz w:val="24"/>
          <w:szCs w:val="24"/>
          <w:lang w:val="en-GB"/>
        </w:rPr>
        <w:t>p</w:t>
      </w:r>
      <w:r w:rsidRPr="00967712">
        <w:rPr>
          <w:rFonts w:ascii="Times New Roman" w:eastAsia="Times New Roman" w:hAnsi="Times New Roman" w:cs="Times New Roman"/>
          <w:sz w:val="24"/>
          <w:szCs w:val="24"/>
          <w:lang w:val="en-GB"/>
        </w:rPr>
        <w:t>=0.016), shared decision making about what a child eats (</w:t>
      </w:r>
      <w:r w:rsidRPr="00967712">
        <w:rPr>
          <w:rFonts w:ascii="Times New Roman" w:eastAsia="Times New Roman" w:hAnsi="Times New Roman" w:cs="Times New Roman"/>
          <w:i/>
          <w:sz w:val="24"/>
          <w:szCs w:val="24"/>
          <w:lang w:val="en-GB"/>
        </w:rPr>
        <w:t>p</w:t>
      </w:r>
      <w:r w:rsidRPr="00967712">
        <w:rPr>
          <w:rFonts w:ascii="Times New Roman" w:eastAsia="Times New Roman" w:hAnsi="Times New Roman" w:cs="Times New Roman"/>
          <w:sz w:val="24"/>
          <w:szCs w:val="24"/>
          <w:lang w:val="en-GB"/>
        </w:rPr>
        <w:t>=0.020), and perpetration of violence (</w:t>
      </w:r>
      <w:r w:rsidRPr="00967712">
        <w:rPr>
          <w:rFonts w:ascii="Times New Roman" w:eastAsia="Times New Roman" w:hAnsi="Times New Roman" w:cs="Times New Roman"/>
          <w:i/>
          <w:sz w:val="24"/>
          <w:szCs w:val="24"/>
          <w:lang w:val="en-GB"/>
        </w:rPr>
        <w:t>p</w:t>
      </w:r>
      <w:r w:rsidRPr="00967712">
        <w:rPr>
          <w:rFonts w:ascii="Times New Roman" w:eastAsia="Times New Roman" w:hAnsi="Times New Roman" w:cs="Times New Roman"/>
          <w:sz w:val="24"/>
          <w:szCs w:val="24"/>
          <w:lang w:val="en-GB"/>
        </w:rPr>
        <w:t>=0.031). A full table of results is in the supplemental material, Table S3. On the HOME inventory, we found that the intervention effect was greater in the ePW households compared with cPW households. For the shared decision-making questions, we found that intervention effects were limited to cPW households. For perpetration of violence we found that intervention effects were limited to ePW households.</w:t>
      </w:r>
    </w:p>
    <w:p w14:paraId="2B3D88EA" w14:textId="77777777" w:rsidR="00967712" w:rsidRPr="00967712" w:rsidRDefault="00967712" w:rsidP="00967712">
      <w:pPr>
        <w:spacing w:after="0" w:line="480" w:lineRule="auto"/>
        <w:rPr>
          <w:rFonts w:ascii="Times New Roman" w:eastAsia="Times New Roman" w:hAnsi="Times New Roman" w:cs="Times New Roman"/>
          <w:sz w:val="24"/>
          <w:szCs w:val="24"/>
          <w:highlight w:val="white"/>
          <w:lang w:val="en-GB"/>
        </w:rPr>
      </w:pPr>
    </w:p>
    <w:tbl>
      <w:tblPr>
        <w:tblW w:w="13248" w:type="dxa"/>
        <w:tblLook w:val="04A0" w:firstRow="1" w:lastRow="0" w:firstColumn="1" w:lastColumn="0" w:noHBand="0" w:noVBand="1"/>
      </w:tblPr>
      <w:tblGrid>
        <w:gridCol w:w="3201"/>
        <w:gridCol w:w="1288"/>
        <w:gridCol w:w="1288"/>
        <w:gridCol w:w="1824"/>
        <w:gridCol w:w="1308"/>
        <w:gridCol w:w="1446"/>
        <w:gridCol w:w="1784"/>
        <w:gridCol w:w="1109"/>
      </w:tblGrid>
      <w:tr w:rsidR="00967712" w:rsidRPr="00967712" w14:paraId="7A5C289D" w14:textId="77777777" w:rsidTr="00582317">
        <w:trPr>
          <w:trHeight w:val="784"/>
        </w:trPr>
        <w:tc>
          <w:tcPr>
            <w:tcW w:w="3201"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2BA450F"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 xml:space="preserve"> Outcomes: </w:t>
            </w:r>
            <w:r w:rsidRPr="00967712">
              <w:rPr>
                <w:rFonts w:ascii="Calibri" w:eastAsia="Times New Roman" w:hAnsi="Calibri" w:cs="Times New Roman"/>
                <w:color w:val="000000"/>
                <w:sz w:val="16"/>
                <w:szCs w:val="16"/>
                <w:lang w:val="en-GB"/>
              </w:rPr>
              <w:br/>
              <w:t>Continuous reported as mean</w:t>
            </w:r>
            <w:r w:rsidRPr="00967712">
              <w:rPr>
                <w:rFonts w:ascii="Calibri" w:eastAsia="Times New Roman" w:hAnsi="Calibri" w:cs="Times New Roman"/>
                <w:color w:val="000000"/>
                <w:sz w:val="16"/>
                <w:szCs w:val="16"/>
                <w:lang w:val="en-GB"/>
              </w:rPr>
              <w:br/>
              <w:t>Binary reported as %</w:t>
            </w:r>
          </w:p>
        </w:tc>
        <w:tc>
          <w:tcPr>
            <w:tcW w:w="4400" w:type="dxa"/>
            <w:gridSpan w:val="3"/>
            <w:tcBorders>
              <w:top w:val="single" w:sz="8" w:space="0" w:color="auto"/>
              <w:left w:val="nil"/>
              <w:bottom w:val="single" w:sz="4" w:space="0" w:color="auto"/>
              <w:right w:val="single" w:sz="4" w:space="0" w:color="auto"/>
            </w:tcBorders>
            <w:shd w:val="clear" w:color="auto" w:fill="auto"/>
            <w:vAlign w:val="center"/>
            <w:hideMark/>
          </w:tcPr>
          <w:p w14:paraId="6EF8384C" w14:textId="77777777" w:rsidR="00967712" w:rsidRPr="00967712" w:rsidRDefault="00967712" w:rsidP="00967712">
            <w:pPr>
              <w:spacing w:after="0" w:line="240" w:lineRule="auto"/>
              <w:jc w:val="center"/>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Classic Public Works (cPW)</w:t>
            </w:r>
            <w:r w:rsidRPr="00967712">
              <w:rPr>
                <w:rFonts w:ascii="Calibri" w:eastAsia="Times New Roman" w:hAnsi="Calibri" w:cs="Times New Roman"/>
                <w:b/>
                <w:bCs/>
                <w:color w:val="000000"/>
                <w:sz w:val="16"/>
                <w:szCs w:val="16"/>
                <w:lang w:val="en-GB"/>
              </w:rPr>
              <w:br/>
              <w:t xml:space="preserve">Post-intervention </w:t>
            </w:r>
            <w:r w:rsidRPr="00967712">
              <w:rPr>
                <w:rFonts w:ascii="Calibri" w:eastAsia="Times New Roman" w:hAnsi="Calibri" w:cs="Times New Roman"/>
                <w:b/>
                <w:bCs/>
                <w:color w:val="000000"/>
                <w:sz w:val="16"/>
                <w:szCs w:val="16"/>
                <w:lang w:val="en-GB"/>
              </w:rPr>
              <w:br/>
            </w:r>
          </w:p>
        </w:tc>
        <w:tc>
          <w:tcPr>
            <w:tcW w:w="4538" w:type="dxa"/>
            <w:gridSpan w:val="3"/>
            <w:tcBorders>
              <w:top w:val="single" w:sz="8" w:space="0" w:color="auto"/>
              <w:left w:val="nil"/>
              <w:bottom w:val="single" w:sz="4" w:space="0" w:color="auto"/>
              <w:right w:val="single" w:sz="4" w:space="0" w:color="auto"/>
            </w:tcBorders>
            <w:shd w:val="clear" w:color="auto" w:fill="auto"/>
            <w:vAlign w:val="center"/>
            <w:hideMark/>
          </w:tcPr>
          <w:p w14:paraId="4394B285" w14:textId="77777777" w:rsidR="00967712" w:rsidRPr="00967712" w:rsidRDefault="00967712" w:rsidP="00967712">
            <w:pPr>
              <w:spacing w:after="0" w:line="240" w:lineRule="auto"/>
              <w:jc w:val="center"/>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Expanded Public Works (ePW)</w:t>
            </w:r>
            <w:r w:rsidRPr="00967712">
              <w:rPr>
                <w:rFonts w:ascii="Calibri" w:eastAsia="Times New Roman" w:hAnsi="Calibri" w:cs="Times New Roman"/>
                <w:b/>
                <w:bCs/>
                <w:color w:val="000000"/>
                <w:sz w:val="16"/>
                <w:szCs w:val="16"/>
                <w:lang w:val="en-GB"/>
              </w:rPr>
              <w:br/>
              <w:t>Post-intervention</w:t>
            </w:r>
          </w:p>
        </w:tc>
        <w:tc>
          <w:tcPr>
            <w:tcW w:w="1109" w:type="dxa"/>
            <w:vMerge w:val="restart"/>
            <w:tcBorders>
              <w:top w:val="single" w:sz="8" w:space="0" w:color="auto"/>
              <w:left w:val="single" w:sz="4" w:space="0" w:color="auto"/>
              <w:bottom w:val="single" w:sz="4" w:space="0" w:color="auto"/>
              <w:right w:val="single" w:sz="8" w:space="0" w:color="auto"/>
            </w:tcBorders>
            <w:shd w:val="clear" w:color="auto" w:fill="auto"/>
            <w:vAlign w:val="bottom"/>
            <w:hideMark/>
          </w:tcPr>
          <w:p w14:paraId="3A917C59"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Test of differences</w:t>
            </w:r>
            <w:r w:rsidRPr="00967712">
              <w:rPr>
                <w:rFonts w:ascii="Calibri" w:eastAsia="Times New Roman" w:hAnsi="Calibri" w:cs="Times New Roman"/>
                <w:b/>
                <w:bCs/>
                <w:color w:val="000000"/>
                <w:sz w:val="20"/>
                <w:szCs w:val="20"/>
                <w:vertAlign w:val="superscript"/>
                <w:lang w:val="en-GB"/>
              </w:rPr>
              <w:t>1</w:t>
            </w:r>
          </w:p>
        </w:tc>
      </w:tr>
      <w:tr w:rsidR="00967712" w:rsidRPr="00967712" w14:paraId="6FBE0B00" w14:textId="77777777" w:rsidTr="00582317">
        <w:trPr>
          <w:trHeight w:val="588"/>
        </w:trPr>
        <w:tc>
          <w:tcPr>
            <w:tcW w:w="3201" w:type="dxa"/>
            <w:tcBorders>
              <w:top w:val="nil"/>
              <w:left w:val="single" w:sz="8" w:space="0" w:color="auto"/>
              <w:bottom w:val="single" w:sz="4" w:space="0" w:color="auto"/>
              <w:right w:val="single" w:sz="4" w:space="0" w:color="auto"/>
            </w:tcBorders>
            <w:shd w:val="clear" w:color="auto" w:fill="auto"/>
            <w:vAlign w:val="center"/>
            <w:hideMark/>
          </w:tcPr>
          <w:p w14:paraId="3C8EF769"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p>
        </w:tc>
        <w:tc>
          <w:tcPr>
            <w:tcW w:w="1288" w:type="dxa"/>
            <w:tcBorders>
              <w:top w:val="nil"/>
              <w:left w:val="nil"/>
              <w:bottom w:val="single" w:sz="4" w:space="0" w:color="auto"/>
              <w:right w:val="single" w:sz="4" w:space="0" w:color="auto"/>
            </w:tcBorders>
            <w:shd w:val="clear" w:color="auto" w:fill="auto"/>
            <w:vAlign w:val="center"/>
            <w:hideMark/>
          </w:tcPr>
          <w:p w14:paraId="53B65208" w14:textId="77777777" w:rsidR="00967712" w:rsidRPr="00967712" w:rsidRDefault="00967712" w:rsidP="00967712">
            <w:pPr>
              <w:spacing w:after="0" w:line="240" w:lineRule="auto"/>
              <w:jc w:val="center"/>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Treatment</w:t>
            </w:r>
          </w:p>
        </w:tc>
        <w:tc>
          <w:tcPr>
            <w:tcW w:w="1288" w:type="dxa"/>
            <w:tcBorders>
              <w:top w:val="nil"/>
              <w:left w:val="nil"/>
              <w:bottom w:val="single" w:sz="4" w:space="0" w:color="auto"/>
              <w:right w:val="single" w:sz="4" w:space="0" w:color="auto"/>
            </w:tcBorders>
            <w:shd w:val="clear" w:color="auto" w:fill="auto"/>
            <w:vAlign w:val="center"/>
            <w:hideMark/>
          </w:tcPr>
          <w:p w14:paraId="1475E369" w14:textId="77777777" w:rsidR="00967712" w:rsidRPr="00967712" w:rsidRDefault="00967712" w:rsidP="00967712">
            <w:pPr>
              <w:spacing w:after="0" w:line="240" w:lineRule="auto"/>
              <w:jc w:val="center"/>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Control</w:t>
            </w:r>
          </w:p>
        </w:tc>
        <w:tc>
          <w:tcPr>
            <w:tcW w:w="1823" w:type="dxa"/>
            <w:tcBorders>
              <w:top w:val="nil"/>
              <w:left w:val="nil"/>
              <w:bottom w:val="single" w:sz="4" w:space="0" w:color="auto"/>
              <w:right w:val="single" w:sz="4" w:space="0" w:color="auto"/>
            </w:tcBorders>
            <w:shd w:val="clear" w:color="auto" w:fill="auto"/>
            <w:vAlign w:val="center"/>
            <w:hideMark/>
          </w:tcPr>
          <w:p w14:paraId="09A1F935" w14:textId="77777777" w:rsidR="00967712" w:rsidRPr="00967712" w:rsidRDefault="00967712" w:rsidP="00967712">
            <w:pPr>
              <w:spacing w:after="0" w:line="240" w:lineRule="auto"/>
              <w:jc w:val="center"/>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Test for significant change among cPW households</w:t>
            </w:r>
          </w:p>
        </w:tc>
        <w:tc>
          <w:tcPr>
            <w:tcW w:w="1308" w:type="dxa"/>
            <w:tcBorders>
              <w:top w:val="nil"/>
              <w:left w:val="nil"/>
              <w:bottom w:val="single" w:sz="4" w:space="0" w:color="auto"/>
              <w:right w:val="single" w:sz="4" w:space="0" w:color="auto"/>
            </w:tcBorders>
            <w:shd w:val="clear" w:color="auto" w:fill="auto"/>
            <w:vAlign w:val="center"/>
            <w:hideMark/>
          </w:tcPr>
          <w:p w14:paraId="25E2135D" w14:textId="77777777" w:rsidR="00967712" w:rsidRPr="00967712" w:rsidRDefault="00967712" w:rsidP="00967712">
            <w:pPr>
              <w:spacing w:after="0" w:line="240" w:lineRule="auto"/>
              <w:jc w:val="center"/>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Treatment</w:t>
            </w:r>
          </w:p>
        </w:tc>
        <w:tc>
          <w:tcPr>
            <w:tcW w:w="1446" w:type="dxa"/>
            <w:tcBorders>
              <w:top w:val="nil"/>
              <w:left w:val="nil"/>
              <w:bottom w:val="single" w:sz="4" w:space="0" w:color="auto"/>
              <w:right w:val="single" w:sz="4" w:space="0" w:color="auto"/>
            </w:tcBorders>
            <w:shd w:val="clear" w:color="auto" w:fill="auto"/>
            <w:vAlign w:val="center"/>
            <w:hideMark/>
          </w:tcPr>
          <w:p w14:paraId="6D0D9799" w14:textId="77777777" w:rsidR="00967712" w:rsidRPr="00967712" w:rsidRDefault="00967712" w:rsidP="00967712">
            <w:pPr>
              <w:spacing w:after="0" w:line="240" w:lineRule="auto"/>
              <w:jc w:val="center"/>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Control</w:t>
            </w:r>
          </w:p>
        </w:tc>
        <w:tc>
          <w:tcPr>
            <w:tcW w:w="1783" w:type="dxa"/>
            <w:tcBorders>
              <w:top w:val="nil"/>
              <w:left w:val="nil"/>
              <w:bottom w:val="single" w:sz="4" w:space="0" w:color="auto"/>
              <w:right w:val="single" w:sz="4" w:space="0" w:color="auto"/>
            </w:tcBorders>
            <w:shd w:val="clear" w:color="auto" w:fill="auto"/>
            <w:vAlign w:val="center"/>
            <w:hideMark/>
          </w:tcPr>
          <w:p w14:paraId="3D7DA6FE" w14:textId="77777777" w:rsidR="00967712" w:rsidRPr="00967712" w:rsidRDefault="00967712" w:rsidP="00967712">
            <w:pPr>
              <w:spacing w:after="0" w:line="240" w:lineRule="auto"/>
              <w:jc w:val="center"/>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Test for significant change among ePW households</w:t>
            </w:r>
          </w:p>
        </w:tc>
        <w:tc>
          <w:tcPr>
            <w:tcW w:w="1109" w:type="dxa"/>
            <w:vMerge/>
            <w:tcBorders>
              <w:top w:val="single" w:sz="8" w:space="0" w:color="auto"/>
              <w:left w:val="single" w:sz="4" w:space="0" w:color="auto"/>
              <w:bottom w:val="single" w:sz="4" w:space="0" w:color="auto"/>
              <w:right w:val="single" w:sz="8" w:space="0" w:color="auto"/>
            </w:tcBorders>
            <w:vAlign w:val="center"/>
            <w:hideMark/>
          </w:tcPr>
          <w:p w14:paraId="187C3305"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p>
        </w:tc>
      </w:tr>
      <w:tr w:rsidR="00967712" w:rsidRPr="00967712" w14:paraId="451C3E75" w14:textId="77777777" w:rsidTr="00582317">
        <w:trPr>
          <w:trHeight w:val="175"/>
        </w:trPr>
        <w:tc>
          <w:tcPr>
            <w:tcW w:w="3201" w:type="dxa"/>
            <w:tcBorders>
              <w:top w:val="nil"/>
              <w:left w:val="single" w:sz="8" w:space="0" w:color="auto"/>
              <w:bottom w:val="nil"/>
              <w:right w:val="nil"/>
            </w:tcBorders>
            <w:shd w:val="clear" w:color="auto" w:fill="auto"/>
            <w:noWrap/>
            <w:vAlign w:val="center"/>
            <w:hideMark/>
          </w:tcPr>
          <w:p w14:paraId="68B8E413"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CHILD DEVELOPMENT (N=1,084)</w:t>
            </w:r>
            <w:r w:rsidRPr="00967712">
              <w:rPr>
                <w:rFonts w:ascii="Arial" w:eastAsia="Times New Roman" w:hAnsi="Arial" w:cs="Arial"/>
                <w:color w:val="000000"/>
                <w:sz w:val="16"/>
                <w:szCs w:val="16"/>
                <w:lang w:val="en-GB"/>
              </w:rPr>
              <w:t> </w:t>
            </w:r>
          </w:p>
        </w:tc>
        <w:tc>
          <w:tcPr>
            <w:tcW w:w="1288" w:type="dxa"/>
            <w:tcBorders>
              <w:top w:val="nil"/>
              <w:left w:val="single" w:sz="4" w:space="0" w:color="auto"/>
              <w:bottom w:val="nil"/>
              <w:right w:val="single" w:sz="4" w:space="0" w:color="auto"/>
            </w:tcBorders>
            <w:shd w:val="clear" w:color="auto" w:fill="auto"/>
            <w:noWrap/>
            <w:vAlign w:val="center"/>
            <w:hideMark/>
          </w:tcPr>
          <w:p w14:paraId="1812AE75"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1FBB7428"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c>
          <w:tcPr>
            <w:tcW w:w="1823" w:type="dxa"/>
            <w:tcBorders>
              <w:top w:val="nil"/>
              <w:left w:val="nil"/>
              <w:bottom w:val="nil"/>
              <w:right w:val="nil"/>
            </w:tcBorders>
            <w:shd w:val="clear" w:color="auto" w:fill="auto"/>
            <w:noWrap/>
            <w:vAlign w:val="bottom"/>
            <w:hideMark/>
          </w:tcPr>
          <w:p w14:paraId="7563D81A"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p>
        </w:tc>
        <w:tc>
          <w:tcPr>
            <w:tcW w:w="1308" w:type="dxa"/>
            <w:tcBorders>
              <w:top w:val="nil"/>
              <w:left w:val="single" w:sz="4" w:space="0" w:color="auto"/>
              <w:bottom w:val="nil"/>
              <w:right w:val="single" w:sz="4" w:space="0" w:color="auto"/>
            </w:tcBorders>
            <w:shd w:val="clear" w:color="auto" w:fill="auto"/>
            <w:noWrap/>
            <w:vAlign w:val="center"/>
            <w:hideMark/>
          </w:tcPr>
          <w:p w14:paraId="126658C8"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c>
          <w:tcPr>
            <w:tcW w:w="1446" w:type="dxa"/>
            <w:tcBorders>
              <w:top w:val="nil"/>
              <w:left w:val="nil"/>
              <w:bottom w:val="nil"/>
              <w:right w:val="nil"/>
            </w:tcBorders>
            <w:shd w:val="clear" w:color="auto" w:fill="auto"/>
            <w:vAlign w:val="center"/>
            <w:hideMark/>
          </w:tcPr>
          <w:p w14:paraId="7B68A387"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p>
        </w:tc>
        <w:tc>
          <w:tcPr>
            <w:tcW w:w="1783" w:type="dxa"/>
            <w:tcBorders>
              <w:top w:val="nil"/>
              <w:left w:val="single" w:sz="4" w:space="0" w:color="auto"/>
              <w:bottom w:val="nil"/>
              <w:right w:val="single" w:sz="4" w:space="0" w:color="auto"/>
            </w:tcBorders>
            <w:shd w:val="clear" w:color="auto" w:fill="auto"/>
            <w:vAlign w:val="center"/>
            <w:hideMark/>
          </w:tcPr>
          <w:p w14:paraId="78567F0E"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bottom"/>
            <w:hideMark/>
          </w:tcPr>
          <w:p w14:paraId="29553698"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r>
      <w:tr w:rsidR="00967712" w:rsidRPr="00967712" w14:paraId="59A70D16"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6794F527"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ECD stimulation in the home</w:t>
            </w:r>
          </w:p>
        </w:tc>
        <w:tc>
          <w:tcPr>
            <w:tcW w:w="1288" w:type="dxa"/>
            <w:tcBorders>
              <w:top w:val="nil"/>
              <w:left w:val="single" w:sz="4" w:space="0" w:color="auto"/>
              <w:bottom w:val="nil"/>
              <w:right w:val="single" w:sz="4" w:space="0" w:color="auto"/>
            </w:tcBorders>
            <w:shd w:val="clear" w:color="auto" w:fill="auto"/>
            <w:noWrap/>
            <w:vAlign w:val="bottom"/>
            <w:hideMark/>
          </w:tcPr>
          <w:p w14:paraId="588DD386"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bottom"/>
            <w:hideMark/>
          </w:tcPr>
          <w:p w14:paraId="53F8AD45"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c>
          <w:tcPr>
            <w:tcW w:w="1823" w:type="dxa"/>
            <w:tcBorders>
              <w:top w:val="nil"/>
              <w:left w:val="nil"/>
              <w:bottom w:val="nil"/>
              <w:right w:val="nil"/>
            </w:tcBorders>
            <w:shd w:val="clear" w:color="auto" w:fill="auto"/>
            <w:noWrap/>
            <w:vAlign w:val="bottom"/>
            <w:hideMark/>
          </w:tcPr>
          <w:p w14:paraId="061C17FF"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p>
        </w:tc>
        <w:tc>
          <w:tcPr>
            <w:tcW w:w="1308" w:type="dxa"/>
            <w:tcBorders>
              <w:top w:val="nil"/>
              <w:left w:val="single" w:sz="4" w:space="0" w:color="auto"/>
              <w:bottom w:val="nil"/>
              <w:right w:val="single" w:sz="4" w:space="0" w:color="auto"/>
            </w:tcBorders>
            <w:shd w:val="clear" w:color="auto" w:fill="auto"/>
            <w:noWrap/>
            <w:vAlign w:val="bottom"/>
            <w:hideMark/>
          </w:tcPr>
          <w:p w14:paraId="7ED142A3"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c>
          <w:tcPr>
            <w:tcW w:w="1446" w:type="dxa"/>
            <w:tcBorders>
              <w:top w:val="nil"/>
              <w:left w:val="nil"/>
              <w:bottom w:val="nil"/>
              <w:right w:val="nil"/>
            </w:tcBorders>
            <w:shd w:val="clear" w:color="auto" w:fill="auto"/>
            <w:vAlign w:val="center"/>
            <w:hideMark/>
          </w:tcPr>
          <w:p w14:paraId="3CF65F7A"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p>
        </w:tc>
        <w:tc>
          <w:tcPr>
            <w:tcW w:w="1783" w:type="dxa"/>
            <w:tcBorders>
              <w:top w:val="nil"/>
              <w:left w:val="single" w:sz="4" w:space="0" w:color="auto"/>
              <w:bottom w:val="nil"/>
              <w:right w:val="single" w:sz="4" w:space="0" w:color="auto"/>
            </w:tcBorders>
            <w:shd w:val="clear" w:color="auto" w:fill="auto"/>
            <w:vAlign w:val="center"/>
            <w:hideMark/>
          </w:tcPr>
          <w:p w14:paraId="52B99353"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bottom"/>
            <w:hideMark/>
          </w:tcPr>
          <w:p w14:paraId="3455C659"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r>
      <w:tr w:rsidR="00967712" w:rsidRPr="00967712" w14:paraId="72D8D3EB"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78ADED24"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HOME [0-43] </w:t>
            </w:r>
          </w:p>
        </w:tc>
        <w:tc>
          <w:tcPr>
            <w:tcW w:w="1288" w:type="dxa"/>
            <w:tcBorders>
              <w:top w:val="nil"/>
              <w:left w:val="single" w:sz="4" w:space="0" w:color="auto"/>
              <w:bottom w:val="nil"/>
              <w:right w:val="single" w:sz="4" w:space="0" w:color="auto"/>
            </w:tcBorders>
            <w:shd w:val="clear" w:color="auto" w:fill="auto"/>
            <w:noWrap/>
            <w:vAlign w:val="center"/>
            <w:hideMark/>
          </w:tcPr>
          <w:p w14:paraId="436F6A5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28·9    </w:t>
            </w:r>
          </w:p>
        </w:tc>
        <w:tc>
          <w:tcPr>
            <w:tcW w:w="1288" w:type="dxa"/>
            <w:tcBorders>
              <w:top w:val="nil"/>
              <w:left w:val="nil"/>
              <w:bottom w:val="nil"/>
              <w:right w:val="single" w:sz="4" w:space="0" w:color="auto"/>
            </w:tcBorders>
            <w:shd w:val="clear" w:color="auto" w:fill="auto"/>
            <w:noWrap/>
            <w:vAlign w:val="center"/>
            <w:hideMark/>
          </w:tcPr>
          <w:p w14:paraId="244FC44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25·5</w:t>
            </w:r>
          </w:p>
        </w:tc>
        <w:tc>
          <w:tcPr>
            <w:tcW w:w="1823" w:type="dxa"/>
            <w:tcBorders>
              <w:top w:val="nil"/>
              <w:left w:val="nil"/>
              <w:bottom w:val="nil"/>
              <w:right w:val="single" w:sz="4" w:space="0" w:color="auto"/>
            </w:tcBorders>
            <w:shd w:val="clear" w:color="auto" w:fill="auto"/>
            <w:noWrap/>
            <w:vAlign w:val="center"/>
            <w:hideMark/>
          </w:tcPr>
          <w:p w14:paraId="232AB45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308" w:type="dxa"/>
            <w:tcBorders>
              <w:top w:val="nil"/>
              <w:left w:val="nil"/>
              <w:bottom w:val="nil"/>
              <w:right w:val="single" w:sz="4" w:space="0" w:color="auto"/>
            </w:tcBorders>
            <w:shd w:val="clear" w:color="auto" w:fill="auto"/>
            <w:noWrap/>
            <w:vAlign w:val="center"/>
            <w:hideMark/>
          </w:tcPr>
          <w:p w14:paraId="385606F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28·9</w:t>
            </w:r>
          </w:p>
        </w:tc>
        <w:tc>
          <w:tcPr>
            <w:tcW w:w="1446" w:type="dxa"/>
            <w:tcBorders>
              <w:top w:val="nil"/>
              <w:left w:val="nil"/>
              <w:bottom w:val="nil"/>
              <w:right w:val="single" w:sz="4" w:space="0" w:color="auto"/>
            </w:tcBorders>
            <w:shd w:val="clear" w:color="auto" w:fill="auto"/>
            <w:noWrap/>
            <w:vAlign w:val="center"/>
            <w:hideMark/>
          </w:tcPr>
          <w:p w14:paraId="5755E78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25·0</w:t>
            </w:r>
          </w:p>
        </w:tc>
        <w:tc>
          <w:tcPr>
            <w:tcW w:w="1783" w:type="dxa"/>
            <w:tcBorders>
              <w:top w:val="nil"/>
              <w:left w:val="nil"/>
              <w:bottom w:val="nil"/>
              <w:right w:val="single" w:sz="4" w:space="0" w:color="auto"/>
            </w:tcBorders>
            <w:shd w:val="clear" w:color="auto" w:fill="auto"/>
            <w:noWrap/>
            <w:vAlign w:val="center"/>
            <w:hideMark/>
          </w:tcPr>
          <w:p w14:paraId="15A00FEB"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109" w:type="dxa"/>
            <w:tcBorders>
              <w:top w:val="nil"/>
              <w:left w:val="nil"/>
              <w:bottom w:val="nil"/>
              <w:right w:val="single" w:sz="8" w:space="0" w:color="auto"/>
            </w:tcBorders>
            <w:shd w:val="clear" w:color="auto" w:fill="auto"/>
            <w:noWrap/>
            <w:vAlign w:val="center"/>
            <w:hideMark/>
          </w:tcPr>
          <w:p w14:paraId="388F771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0·002</w:t>
            </w:r>
          </w:p>
        </w:tc>
      </w:tr>
      <w:tr w:rsidR="00967712" w:rsidRPr="00967712" w14:paraId="5D4458F7"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0346D669"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OMCI [ 0-57] </w:t>
            </w:r>
          </w:p>
        </w:tc>
        <w:tc>
          <w:tcPr>
            <w:tcW w:w="1288" w:type="dxa"/>
            <w:tcBorders>
              <w:top w:val="nil"/>
              <w:left w:val="single" w:sz="4" w:space="0" w:color="auto"/>
              <w:bottom w:val="nil"/>
              <w:right w:val="single" w:sz="4" w:space="0" w:color="auto"/>
            </w:tcBorders>
            <w:shd w:val="clear" w:color="auto" w:fill="auto"/>
            <w:noWrap/>
            <w:vAlign w:val="center"/>
            <w:hideMark/>
          </w:tcPr>
          <w:p w14:paraId="4F9C2D5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43·0</w:t>
            </w:r>
          </w:p>
        </w:tc>
        <w:tc>
          <w:tcPr>
            <w:tcW w:w="1288" w:type="dxa"/>
            <w:tcBorders>
              <w:top w:val="nil"/>
              <w:left w:val="nil"/>
              <w:bottom w:val="nil"/>
              <w:right w:val="single" w:sz="4" w:space="0" w:color="auto"/>
            </w:tcBorders>
            <w:shd w:val="clear" w:color="auto" w:fill="auto"/>
            <w:noWrap/>
            <w:vAlign w:val="center"/>
            <w:hideMark/>
          </w:tcPr>
          <w:p w14:paraId="35837EF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41·8         </w:t>
            </w:r>
          </w:p>
        </w:tc>
        <w:tc>
          <w:tcPr>
            <w:tcW w:w="1823" w:type="dxa"/>
            <w:tcBorders>
              <w:top w:val="nil"/>
              <w:left w:val="nil"/>
              <w:bottom w:val="nil"/>
              <w:right w:val="single" w:sz="4" w:space="0" w:color="auto"/>
            </w:tcBorders>
            <w:shd w:val="clear" w:color="auto" w:fill="auto"/>
            <w:noWrap/>
            <w:vAlign w:val="center"/>
            <w:hideMark/>
          </w:tcPr>
          <w:p w14:paraId="10AA312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0·012</w:t>
            </w:r>
          </w:p>
        </w:tc>
        <w:tc>
          <w:tcPr>
            <w:tcW w:w="1308" w:type="dxa"/>
            <w:tcBorders>
              <w:top w:val="nil"/>
              <w:left w:val="nil"/>
              <w:bottom w:val="nil"/>
              <w:right w:val="single" w:sz="4" w:space="0" w:color="auto"/>
            </w:tcBorders>
            <w:shd w:val="clear" w:color="auto" w:fill="auto"/>
            <w:noWrap/>
            <w:vAlign w:val="center"/>
            <w:hideMark/>
          </w:tcPr>
          <w:p w14:paraId="6C2C8F3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43·8</w:t>
            </w:r>
          </w:p>
        </w:tc>
        <w:tc>
          <w:tcPr>
            <w:tcW w:w="1446" w:type="dxa"/>
            <w:tcBorders>
              <w:top w:val="nil"/>
              <w:left w:val="nil"/>
              <w:bottom w:val="nil"/>
              <w:right w:val="single" w:sz="4" w:space="0" w:color="auto"/>
            </w:tcBorders>
            <w:shd w:val="clear" w:color="auto" w:fill="auto"/>
            <w:noWrap/>
            <w:vAlign w:val="center"/>
            <w:hideMark/>
          </w:tcPr>
          <w:p w14:paraId="047E257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41·3</w:t>
            </w:r>
          </w:p>
        </w:tc>
        <w:tc>
          <w:tcPr>
            <w:tcW w:w="1783" w:type="dxa"/>
            <w:tcBorders>
              <w:top w:val="nil"/>
              <w:left w:val="nil"/>
              <w:bottom w:val="nil"/>
              <w:right w:val="single" w:sz="4" w:space="0" w:color="auto"/>
            </w:tcBorders>
            <w:shd w:val="clear" w:color="auto" w:fill="auto"/>
            <w:noWrap/>
            <w:vAlign w:val="center"/>
            <w:hideMark/>
          </w:tcPr>
          <w:p w14:paraId="767017F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109" w:type="dxa"/>
            <w:tcBorders>
              <w:top w:val="nil"/>
              <w:left w:val="nil"/>
              <w:bottom w:val="nil"/>
              <w:right w:val="single" w:sz="8" w:space="0" w:color="auto"/>
            </w:tcBorders>
            <w:shd w:val="clear" w:color="auto" w:fill="auto"/>
            <w:noWrap/>
            <w:vAlign w:val="center"/>
            <w:hideMark/>
          </w:tcPr>
          <w:p w14:paraId="4554B22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0·104</w:t>
            </w:r>
          </w:p>
        </w:tc>
      </w:tr>
      <w:tr w:rsidR="00967712" w:rsidRPr="00967712" w14:paraId="75B10115"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2215D5CC"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FCI [0-6]</w:t>
            </w:r>
          </w:p>
        </w:tc>
        <w:tc>
          <w:tcPr>
            <w:tcW w:w="1288" w:type="dxa"/>
            <w:tcBorders>
              <w:top w:val="nil"/>
              <w:left w:val="single" w:sz="4" w:space="0" w:color="auto"/>
              <w:bottom w:val="nil"/>
              <w:right w:val="single" w:sz="4" w:space="0" w:color="auto"/>
            </w:tcBorders>
            <w:shd w:val="clear" w:color="auto" w:fill="auto"/>
            <w:noWrap/>
            <w:vAlign w:val="center"/>
            <w:hideMark/>
          </w:tcPr>
          <w:p w14:paraId="3AB7B35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4·62       </w:t>
            </w:r>
          </w:p>
        </w:tc>
        <w:tc>
          <w:tcPr>
            <w:tcW w:w="1288" w:type="dxa"/>
            <w:tcBorders>
              <w:top w:val="nil"/>
              <w:left w:val="nil"/>
              <w:bottom w:val="nil"/>
              <w:right w:val="single" w:sz="4" w:space="0" w:color="auto"/>
            </w:tcBorders>
            <w:shd w:val="clear" w:color="auto" w:fill="auto"/>
            <w:noWrap/>
            <w:vAlign w:val="center"/>
            <w:hideMark/>
          </w:tcPr>
          <w:p w14:paraId="3467442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3·49          </w:t>
            </w:r>
          </w:p>
        </w:tc>
        <w:tc>
          <w:tcPr>
            <w:tcW w:w="1823" w:type="dxa"/>
            <w:tcBorders>
              <w:top w:val="nil"/>
              <w:left w:val="nil"/>
              <w:bottom w:val="nil"/>
              <w:right w:val="single" w:sz="4" w:space="0" w:color="auto"/>
            </w:tcBorders>
            <w:shd w:val="clear" w:color="auto" w:fill="auto"/>
            <w:noWrap/>
            <w:vAlign w:val="center"/>
            <w:hideMark/>
          </w:tcPr>
          <w:p w14:paraId="78AF680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308" w:type="dxa"/>
            <w:tcBorders>
              <w:top w:val="nil"/>
              <w:left w:val="nil"/>
              <w:bottom w:val="nil"/>
              <w:right w:val="single" w:sz="4" w:space="0" w:color="auto"/>
            </w:tcBorders>
            <w:shd w:val="clear" w:color="auto" w:fill="auto"/>
            <w:noWrap/>
            <w:vAlign w:val="center"/>
            <w:hideMark/>
          </w:tcPr>
          <w:p w14:paraId="7C37EEF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4·55</w:t>
            </w:r>
          </w:p>
        </w:tc>
        <w:tc>
          <w:tcPr>
            <w:tcW w:w="1446" w:type="dxa"/>
            <w:tcBorders>
              <w:top w:val="nil"/>
              <w:left w:val="nil"/>
              <w:bottom w:val="nil"/>
              <w:right w:val="single" w:sz="4" w:space="0" w:color="auto"/>
            </w:tcBorders>
            <w:shd w:val="clear" w:color="auto" w:fill="auto"/>
            <w:noWrap/>
            <w:vAlign w:val="center"/>
            <w:hideMark/>
          </w:tcPr>
          <w:p w14:paraId="08D8AE0B"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3·15</w:t>
            </w:r>
          </w:p>
        </w:tc>
        <w:tc>
          <w:tcPr>
            <w:tcW w:w="1783" w:type="dxa"/>
            <w:tcBorders>
              <w:top w:val="nil"/>
              <w:left w:val="nil"/>
              <w:bottom w:val="nil"/>
              <w:right w:val="single" w:sz="4" w:space="0" w:color="auto"/>
            </w:tcBorders>
            <w:shd w:val="clear" w:color="auto" w:fill="auto"/>
            <w:noWrap/>
            <w:vAlign w:val="center"/>
            <w:hideMark/>
          </w:tcPr>
          <w:p w14:paraId="7B9983C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109" w:type="dxa"/>
            <w:tcBorders>
              <w:top w:val="nil"/>
              <w:left w:val="nil"/>
              <w:bottom w:val="nil"/>
              <w:right w:val="single" w:sz="8" w:space="0" w:color="auto"/>
            </w:tcBorders>
            <w:shd w:val="clear" w:color="auto" w:fill="auto"/>
            <w:noWrap/>
            <w:vAlign w:val="center"/>
            <w:hideMark/>
          </w:tcPr>
          <w:p w14:paraId="4B617AC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0·579</w:t>
            </w:r>
          </w:p>
        </w:tc>
      </w:tr>
      <w:tr w:rsidR="00967712" w:rsidRPr="00967712" w14:paraId="68551FE2" w14:textId="77777777" w:rsidTr="00582317">
        <w:trPr>
          <w:trHeight w:val="176"/>
        </w:trPr>
        <w:tc>
          <w:tcPr>
            <w:tcW w:w="3201" w:type="dxa"/>
            <w:tcBorders>
              <w:top w:val="nil"/>
              <w:left w:val="single" w:sz="8" w:space="0" w:color="auto"/>
              <w:bottom w:val="nil"/>
              <w:right w:val="nil"/>
            </w:tcBorders>
            <w:shd w:val="clear" w:color="auto" w:fill="auto"/>
            <w:noWrap/>
            <w:vAlign w:val="center"/>
            <w:hideMark/>
          </w:tcPr>
          <w:p w14:paraId="22837113"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Child nutrition, health and safety</w:t>
            </w:r>
          </w:p>
        </w:tc>
        <w:tc>
          <w:tcPr>
            <w:tcW w:w="1288" w:type="dxa"/>
            <w:tcBorders>
              <w:top w:val="nil"/>
              <w:left w:val="single" w:sz="4" w:space="0" w:color="auto"/>
              <w:bottom w:val="nil"/>
              <w:right w:val="single" w:sz="4" w:space="0" w:color="auto"/>
            </w:tcBorders>
            <w:shd w:val="clear" w:color="auto" w:fill="auto"/>
            <w:noWrap/>
            <w:vAlign w:val="center"/>
            <w:hideMark/>
          </w:tcPr>
          <w:p w14:paraId="2795B5D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356E3EC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823" w:type="dxa"/>
            <w:tcBorders>
              <w:top w:val="nil"/>
              <w:left w:val="nil"/>
              <w:bottom w:val="nil"/>
              <w:right w:val="single" w:sz="4" w:space="0" w:color="auto"/>
            </w:tcBorders>
            <w:shd w:val="clear" w:color="auto" w:fill="auto"/>
            <w:noWrap/>
            <w:vAlign w:val="center"/>
            <w:hideMark/>
          </w:tcPr>
          <w:p w14:paraId="616AC57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308" w:type="dxa"/>
            <w:tcBorders>
              <w:top w:val="nil"/>
              <w:left w:val="nil"/>
              <w:bottom w:val="nil"/>
              <w:right w:val="single" w:sz="4" w:space="0" w:color="auto"/>
            </w:tcBorders>
            <w:shd w:val="clear" w:color="auto" w:fill="auto"/>
            <w:noWrap/>
            <w:vAlign w:val="center"/>
            <w:hideMark/>
          </w:tcPr>
          <w:p w14:paraId="58270F8B"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446" w:type="dxa"/>
            <w:tcBorders>
              <w:top w:val="nil"/>
              <w:left w:val="nil"/>
              <w:bottom w:val="nil"/>
              <w:right w:val="single" w:sz="4" w:space="0" w:color="auto"/>
            </w:tcBorders>
            <w:shd w:val="clear" w:color="auto" w:fill="auto"/>
            <w:noWrap/>
            <w:vAlign w:val="center"/>
            <w:hideMark/>
          </w:tcPr>
          <w:p w14:paraId="6D8C3E1B"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783" w:type="dxa"/>
            <w:tcBorders>
              <w:top w:val="nil"/>
              <w:left w:val="nil"/>
              <w:bottom w:val="nil"/>
              <w:right w:val="single" w:sz="4" w:space="0" w:color="auto"/>
            </w:tcBorders>
            <w:shd w:val="clear" w:color="auto" w:fill="auto"/>
            <w:noWrap/>
            <w:vAlign w:val="center"/>
            <w:hideMark/>
          </w:tcPr>
          <w:p w14:paraId="38378041"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center"/>
            <w:hideMark/>
          </w:tcPr>
          <w:p w14:paraId="44400D9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r>
      <w:tr w:rsidR="00967712" w:rsidRPr="00967712" w14:paraId="5396209A"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24B50163" w14:textId="77777777" w:rsidR="00967712" w:rsidRPr="00967712" w:rsidRDefault="00967712" w:rsidP="00967712">
            <w:pPr>
              <w:spacing w:after="0" w:line="240" w:lineRule="auto"/>
              <w:ind w:firstLineChars="100" w:firstLine="160"/>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Dietary Diversity [0-7 food groups]</w:t>
            </w:r>
          </w:p>
        </w:tc>
        <w:tc>
          <w:tcPr>
            <w:tcW w:w="1288" w:type="dxa"/>
            <w:tcBorders>
              <w:top w:val="nil"/>
              <w:left w:val="single" w:sz="4" w:space="0" w:color="auto"/>
              <w:bottom w:val="nil"/>
              <w:right w:val="single" w:sz="4" w:space="0" w:color="auto"/>
            </w:tcBorders>
            <w:shd w:val="clear" w:color="auto" w:fill="auto"/>
            <w:noWrap/>
            <w:vAlign w:val="center"/>
            <w:hideMark/>
          </w:tcPr>
          <w:p w14:paraId="4F02F61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3·50</w:t>
            </w:r>
          </w:p>
        </w:tc>
        <w:tc>
          <w:tcPr>
            <w:tcW w:w="1288" w:type="dxa"/>
            <w:tcBorders>
              <w:top w:val="nil"/>
              <w:left w:val="nil"/>
              <w:bottom w:val="nil"/>
              <w:right w:val="single" w:sz="4" w:space="0" w:color="auto"/>
            </w:tcBorders>
            <w:shd w:val="clear" w:color="auto" w:fill="auto"/>
            <w:noWrap/>
            <w:vAlign w:val="center"/>
            <w:hideMark/>
          </w:tcPr>
          <w:p w14:paraId="3FA813B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3·00</w:t>
            </w:r>
          </w:p>
        </w:tc>
        <w:tc>
          <w:tcPr>
            <w:tcW w:w="1823" w:type="dxa"/>
            <w:tcBorders>
              <w:top w:val="nil"/>
              <w:left w:val="nil"/>
              <w:bottom w:val="nil"/>
              <w:right w:val="single" w:sz="4" w:space="0" w:color="auto"/>
            </w:tcBorders>
            <w:shd w:val="clear" w:color="auto" w:fill="auto"/>
            <w:noWrap/>
            <w:vAlign w:val="center"/>
            <w:hideMark/>
          </w:tcPr>
          <w:p w14:paraId="2E085BB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0·001</w:t>
            </w:r>
          </w:p>
        </w:tc>
        <w:tc>
          <w:tcPr>
            <w:tcW w:w="1308" w:type="dxa"/>
            <w:tcBorders>
              <w:top w:val="nil"/>
              <w:left w:val="nil"/>
              <w:bottom w:val="nil"/>
              <w:right w:val="single" w:sz="4" w:space="0" w:color="auto"/>
            </w:tcBorders>
            <w:shd w:val="clear" w:color="auto" w:fill="auto"/>
            <w:noWrap/>
            <w:vAlign w:val="center"/>
            <w:hideMark/>
          </w:tcPr>
          <w:p w14:paraId="11B47E3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3·36       </w:t>
            </w:r>
          </w:p>
        </w:tc>
        <w:tc>
          <w:tcPr>
            <w:tcW w:w="1446" w:type="dxa"/>
            <w:tcBorders>
              <w:top w:val="nil"/>
              <w:left w:val="nil"/>
              <w:bottom w:val="nil"/>
              <w:right w:val="single" w:sz="4" w:space="0" w:color="auto"/>
            </w:tcBorders>
            <w:shd w:val="clear" w:color="auto" w:fill="auto"/>
            <w:noWrap/>
            <w:vAlign w:val="center"/>
            <w:hideMark/>
          </w:tcPr>
          <w:p w14:paraId="5459BC1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3·09     </w:t>
            </w:r>
          </w:p>
        </w:tc>
        <w:tc>
          <w:tcPr>
            <w:tcW w:w="1783" w:type="dxa"/>
            <w:tcBorders>
              <w:top w:val="nil"/>
              <w:left w:val="nil"/>
              <w:bottom w:val="nil"/>
              <w:right w:val="single" w:sz="4" w:space="0" w:color="auto"/>
            </w:tcBorders>
            <w:shd w:val="clear" w:color="auto" w:fill="auto"/>
            <w:noWrap/>
            <w:vAlign w:val="center"/>
            <w:hideMark/>
          </w:tcPr>
          <w:p w14:paraId="1190E711"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0·001       </w:t>
            </w:r>
          </w:p>
        </w:tc>
        <w:tc>
          <w:tcPr>
            <w:tcW w:w="1109" w:type="dxa"/>
            <w:tcBorders>
              <w:top w:val="nil"/>
              <w:left w:val="nil"/>
              <w:bottom w:val="nil"/>
              <w:right w:val="single" w:sz="8" w:space="0" w:color="auto"/>
            </w:tcBorders>
            <w:shd w:val="clear" w:color="auto" w:fill="auto"/>
            <w:noWrap/>
            <w:vAlign w:val="center"/>
            <w:hideMark/>
          </w:tcPr>
          <w:p w14:paraId="7EFD398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0·296</w:t>
            </w:r>
          </w:p>
        </w:tc>
      </w:tr>
      <w:tr w:rsidR="00967712" w:rsidRPr="00967712" w14:paraId="0765645B"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416DA550" w14:textId="77777777" w:rsidR="00967712" w:rsidRPr="00967712" w:rsidRDefault="00967712" w:rsidP="00967712">
            <w:pPr>
              <w:spacing w:after="0" w:line="240" w:lineRule="auto"/>
              <w:ind w:firstLineChars="100" w:firstLine="160"/>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Diarrhoea prevalence (%)</w:t>
            </w:r>
          </w:p>
        </w:tc>
        <w:tc>
          <w:tcPr>
            <w:tcW w:w="1288" w:type="dxa"/>
            <w:tcBorders>
              <w:top w:val="nil"/>
              <w:left w:val="single" w:sz="4" w:space="0" w:color="auto"/>
              <w:bottom w:val="nil"/>
              <w:right w:val="single" w:sz="4" w:space="0" w:color="auto"/>
            </w:tcBorders>
            <w:shd w:val="clear" w:color="auto" w:fill="auto"/>
            <w:noWrap/>
            <w:vAlign w:val="center"/>
            <w:hideMark/>
          </w:tcPr>
          <w:p w14:paraId="266BC11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30%</w:t>
            </w:r>
          </w:p>
        </w:tc>
        <w:tc>
          <w:tcPr>
            <w:tcW w:w="1288" w:type="dxa"/>
            <w:tcBorders>
              <w:top w:val="nil"/>
              <w:left w:val="nil"/>
              <w:bottom w:val="nil"/>
              <w:right w:val="single" w:sz="4" w:space="0" w:color="auto"/>
            </w:tcBorders>
            <w:shd w:val="clear" w:color="auto" w:fill="auto"/>
            <w:noWrap/>
            <w:vAlign w:val="center"/>
            <w:hideMark/>
          </w:tcPr>
          <w:p w14:paraId="0EDB265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34%</w:t>
            </w:r>
          </w:p>
        </w:tc>
        <w:tc>
          <w:tcPr>
            <w:tcW w:w="1823" w:type="dxa"/>
            <w:tcBorders>
              <w:top w:val="nil"/>
              <w:left w:val="nil"/>
              <w:bottom w:val="nil"/>
              <w:right w:val="single" w:sz="4" w:space="0" w:color="auto"/>
            </w:tcBorders>
            <w:shd w:val="clear" w:color="auto" w:fill="auto"/>
            <w:noWrap/>
            <w:vAlign w:val="center"/>
            <w:hideMark/>
          </w:tcPr>
          <w:p w14:paraId="085B683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0·083</w:t>
            </w:r>
          </w:p>
        </w:tc>
        <w:tc>
          <w:tcPr>
            <w:tcW w:w="1308" w:type="dxa"/>
            <w:tcBorders>
              <w:top w:val="nil"/>
              <w:left w:val="nil"/>
              <w:bottom w:val="nil"/>
              <w:right w:val="single" w:sz="4" w:space="0" w:color="auto"/>
            </w:tcBorders>
            <w:shd w:val="clear" w:color="auto" w:fill="auto"/>
            <w:noWrap/>
            <w:vAlign w:val="center"/>
            <w:hideMark/>
          </w:tcPr>
          <w:p w14:paraId="35B918A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37%</w:t>
            </w:r>
          </w:p>
        </w:tc>
        <w:tc>
          <w:tcPr>
            <w:tcW w:w="1446" w:type="dxa"/>
            <w:tcBorders>
              <w:top w:val="nil"/>
              <w:left w:val="nil"/>
              <w:bottom w:val="nil"/>
              <w:right w:val="single" w:sz="4" w:space="0" w:color="auto"/>
            </w:tcBorders>
            <w:shd w:val="clear" w:color="auto" w:fill="auto"/>
            <w:noWrap/>
            <w:vAlign w:val="center"/>
            <w:hideMark/>
          </w:tcPr>
          <w:p w14:paraId="18F3E4B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36%</w:t>
            </w:r>
          </w:p>
        </w:tc>
        <w:tc>
          <w:tcPr>
            <w:tcW w:w="1783" w:type="dxa"/>
            <w:tcBorders>
              <w:top w:val="nil"/>
              <w:left w:val="nil"/>
              <w:bottom w:val="nil"/>
              <w:right w:val="single" w:sz="4" w:space="0" w:color="auto"/>
            </w:tcBorders>
            <w:shd w:val="clear" w:color="auto" w:fill="auto"/>
            <w:noWrap/>
            <w:vAlign w:val="center"/>
            <w:hideMark/>
          </w:tcPr>
          <w:p w14:paraId="5F99E15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0·964       </w:t>
            </w:r>
          </w:p>
        </w:tc>
        <w:tc>
          <w:tcPr>
            <w:tcW w:w="1109" w:type="dxa"/>
            <w:tcBorders>
              <w:top w:val="nil"/>
              <w:left w:val="nil"/>
              <w:bottom w:val="nil"/>
              <w:right w:val="single" w:sz="8" w:space="0" w:color="auto"/>
            </w:tcBorders>
            <w:shd w:val="clear" w:color="auto" w:fill="auto"/>
            <w:noWrap/>
            <w:vAlign w:val="center"/>
            <w:hideMark/>
          </w:tcPr>
          <w:p w14:paraId="2D67EFC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0·373</w:t>
            </w:r>
          </w:p>
        </w:tc>
      </w:tr>
      <w:tr w:rsidR="00967712" w:rsidRPr="00967712" w14:paraId="664C2E14"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57C7B519" w14:textId="77777777" w:rsidR="00967712" w:rsidRPr="00967712" w:rsidRDefault="00967712" w:rsidP="00967712">
            <w:pPr>
              <w:spacing w:after="0" w:line="240" w:lineRule="auto"/>
              <w:ind w:firstLineChars="100" w:firstLine="160"/>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Diarrhoea care seeking (%</w:t>
            </w:r>
            <w:r w:rsidRPr="00967712">
              <w:rPr>
                <w:rFonts w:ascii="Calibri" w:eastAsia="Times New Roman" w:hAnsi="Calibri" w:cs="Times New Roman"/>
                <w:color w:val="000000"/>
                <w:sz w:val="16"/>
                <w:szCs w:val="16"/>
                <w:vertAlign w:val="superscript"/>
                <w:lang w:val="en-GB"/>
              </w:rPr>
              <w:t>)</w:t>
            </w:r>
            <w:r w:rsidRPr="00967712">
              <w:rPr>
                <w:rFonts w:ascii="Calibri" w:eastAsia="Times New Roman" w:hAnsi="Calibri" w:cs="Times New Roman"/>
                <w:color w:val="000000"/>
                <w:sz w:val="20"/>
                <w:szCs w:val="20"/>
                <w:vertAlign w:val="superscript"/>
                <w:lang w:val="en-GB"/>
              </w:rPr>
              <w:t>2</w:t>
            </w:r>
          </w:p>
        </w:tc>
        <w:tc>
          <w:tcPr>
            <w:tcW w:w="1288" w:type="dxa"/>
            <w:tcBorders>
              <w:top w:val="nil"/>
              <w:left w:val="single" w:sz="4" w:space="0" w:color="auto"/>
              <w:bottom w:val="nil"/>
              <w:right w:val="single" w:sz="4" w:space="0" w:color="auto"/>
            </w:tcBorders>
            <w:shd w:val="clear" w:color="auto" w:fill="auto"/>
            <w:noWrap/>
            <w:vAlign w:val="center"/>
            <w:hideMark/>
          </w:tcPr>
          <w:p w14:paraId="237B693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79%</w:t>
            </w:r>
          </w:p>
        </w:tc>
        <w:tc>
          <w:tcPr>
            <w:tcW w:w="1288" w:type="dxa"/>
            <w:tcBorders>
              <w:top w:val="nil"/>
              <w:left w:val="nil"/>
              <w:bottom w:val="nil"/>
              <w:right w:val="single" w:sz="4" w:space="0" w:color="auto"/>
            </w:tcBorders>
            <w:shd w:val="clear" w:color="auto" w:fill="auto"/>
            <w:noWrap/>
            <w:vAlign w:val="center"/>
            <w:hideMark/>
          </w:tcPr>
          <w:p w14:paraId="507FEA0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56%</w:t>
            </w:r>
          </w:p>
        </w:tc>
        <w:tc>
          <w:tcPr>
            <w:tcW w:w="1823" w:type="dxa"/>
            <w:tcBorders>
              <w:top w:val="nil"/>
              <w:left w:val="nil"/>
              <w:bottom w:val="nil"/>
              <w:right w:val="single" w:sz="4" w:space="0" w:color="auto"/>
            </w:tcBorders>
            <w:shd w:val="clear" w:color="auto" w:fill="auto"/>
            <w:noWrap/>
            <w:vAlign w:val="center"/>
            <w:hideMark/>
          </w:tcPr>
          <w:p w14:paraId="5641C4D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0·013</w:t>
            </w:r>
          </w:p>
        </w:tc>
        <w:tc>
          <w:tcPr>
            <w:tcW w:w="1308" w:type="dxa"/>
            <w:tcBorders>
              <w:top w:val="nil"/>
              <w:left w:val="nil"/>
              <w:bottom w:val="nil"/>
              <w:right w:val="single" w:sz="4" w:space="0" w:color="auto"/>
            </w:tcBorders>
            <w:shd w:val="clear" w:color="auto" w:fill="auto"/>
            <w:noWrap/>
            <w:vAlign w:val="center"/>
            <w:hideMark/>
          </w:tcPr>
          <w:p w14:paraId="342A469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90%</w:t>
            </w:r>
          </w:p>
        </w:tc>
        <w:tc>
          <w:tcPr>
            <w:tcW w:w="1446" w:type="dxa"/>
            <w:tcBorders>
              <w:top w:val="nil"/>
              <w:left w:val="nil"/>
              <w:bottom w:val="nil"/>
              <w:right w:val="single" w:sz="4" w:space="0" w:color="auto"/>
            </w:tcBorders>
            <w:shd w:val="clear" w:color="auto" w:fill="auto"/>
            <w:noWrap/>
            <w:vAlign w:val="center"/>
            <w:hideMark/>
          </w:tcPr>
          <w:p w14:paraId="54E24BA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56%</w:t>
            </w:r>
          </w:p>
        </w:tc>
        <w:tc>
          <w:tcPr>
            <w:tcW w:w="1783" w:type="dxa"/>
            <w:tcBorders>
              <w:top w:val="nil"/>
              <w:left w:val="nil"/>
              <w:bottom w:val="nil"/>
              <w:right w:val="single" w:sz="4" w:space="0" w:color="auto"/>
            </w:tcBorders>
            <w:shd w:val="clear" w:color="auto" w:fill="auto"/>
            <w:noWrap/>
            <w:vAlign w:val="center"/>
            <w:hideMark/>
          </w:tcPr>
          <w:p w14:paraId="087CD56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0·001</w:t>
            </w:r>
          </w:p>
        </w:tc>
        <w:tc>
          <w:tcPr>
            <w:tcW w:w="1109" w:type="dxa"/>
            <w:tcBorders>
              <w:top w:val="nil"/>
              <w:left w:val="nil"/>
              <w:bottom w:val="nil"/>
              <w:right w:val="single" w:sz="8" w:space="0" w:color="auto"/>
            </w:tcBorders>
            <w:shd w:val="clear" w:color="auto" w:fill="auto"/>
            <w:noWrap/>
            <w:vAlign w:val="center"/>
            <w:hideMark/>
          </w:tcPr>
          <w:p w14:paraId="3813AFC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0·294</w:t>
            </w:r>
          </w:p>
        </w:tc>
      </w:tr>
      <w:tr w:rsidR="00967712" w:rsidRPr="00967712" w14:paraId="2158805D"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1390909B" w14:textId="77777777" w:rsidR="00967712" w:rsidRPr="00967712" w:rsidRDefault="00967712" w:rsidP="00967712">
            <w:pPr>
              <w:spacing w:after="0" w:line="240" w:lineRule="auto"/>
              <w:ind w:firstLineChars="100" w:firstLine="160"/>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Fever and cough prevalence (%)</w:t>
            </w:r>
          </w:p>
        </w:tc>
        <w:tc>
          <w:tcPr>
            <w:tcW w:w="1288" w:type="dxa"/>
            <w:tcBorders>
              <w:top w:val="nil"/>
              <w:left w:val="single" w:sz="4" w:space="0" w:color="auto"/>
              <w:bottom w:val="nil"/>
              <w:right w:val="single" w:sz="4" w:space="0" w:color="auto"/>
            </w:tcBorders>
            <w:shd w:val="clear" w:color="auto" w:fill="auto"/>
            <w:noWrap/>
            <w:vAlign w:val="center"/>
            <w:hideMark/>
          </w:tcPr>
          <w:p w14:paraId="2C084DE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66%</w:t>
            </w:r>
          </w:p>
        </w:tc>
        <w:tc>
          <w:tcPr>
            <w:tcW w:w="1288" w:type="dxa"/>
            <w:tcBorders>
              <w:top w:val="nil"/>
              <w:left w:val="nil"/>
              <w:bottom w:val="nil"/>
              <w:right w:val="single" w:sz="4" w:space="0" w:color="auto"/>
            </w:tcBorders>
            <w:shd w:val="clear" w:color="auto" w:fill="auto"/>
            <w:noWrap/>
            <w:vAlign w:val="center"/>
            <w:hideMark/>
          </w:tcPr>
          <w:p w14:paraId="55A11DE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69%</w:t>
            </w:r>
          </w:p>
        </w:tc>
        <w:tc>
          <w:tcPr>
            <w:tcW w:w="1823" w:type="dxa"/>
            <w:tcBorders>
              <w:top w:val="nil"/>
              <w:left w:val="nil"/>
              <w:bottom w:val="nil"/>
              <w:right w:val="single" w:sz="4" w:space="0" w:color="auto"/>
            </w:tcBorders>
            <w:shd w:val="clear" w:color="auto" w:fill="auto"/>
            <w:noWrap/>
            <w:vAlign w:val="center"/>
            <w:hideMark/>
          </w:tcPr>
          <w:p w14:paraId="2104632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0·174        </w:t>
            </w:r>
          </w:p>
        </w:tc>
        <w:tc>
          <w:tcPr>
            <w:tcW w:w="1308" w:type="dxa"/>
            <w:tcBorders>
              <w:top w:val="nil"/>
              <w:left w:val="nil"/>
              <w:bottom w:val="nil"/>
              <w:right w:val="single" w:sz="4" w:space="0" w:color="auto"/>
            </w:tcBorders>
            <w:shd w:val="clear" w:color="auto" w:fill="auto"/>
            <w:noWrap/>
            <w:vAlign w:val="center"/>
            <w:hideMark/>
          </w:tcPr>
          <w:p w14:paraId="405DD41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71</w:t>
            </w:r>
          </w:p>
        </w:tc>
        <w:tc>
          <w:tcPr>
            <w:tcW w:w="1446" w:type="dxa"/>
            <w:tcBorders>
              <w:top w:val="nil"/>
              <w:left w:val="nil"/>
              <w:bottom w:val="nil"/>
              <w:right w:val="single" w:sz="4" w:space="0" w:color="auto"/>
            </w:tcBorders>
            <w:shd w:val="clear" w:color="auto" w:fill="auto"/>
            <w:noWrap/>
            <w:vAlign w:val="center"/>
            <w:hideMark/>
          </w:tcPr>
          <w:p w14:paraId="6A9F7F21"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66</w:t>
            </w:r>
          </w:p>
        </w:tc>
        <w:tc>
          <w:tcPr>
            <w:tcW w:w="1783" w:type="dxa"/>
            <w:tcBorders>
              <w:top w:val="nil"/>
              <w:left w:val="nil"/>
              <w:bottom w:val="nil"/>
              <w:right w:val="single" w:sz="4" w:space="0" w:color="auto"/>
            </w:tcBorders>
            <w:shd w:val="clear" w:color="auto" w:fill="auto"/>
            <w:noWrap/>
            <w:vAlign w:val="center"/>
            <w:hideMark/>
          </w:tcPr>
          <w:p w14:paraId="03DCF4F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0·727       </w:t>
            </w:r>
          </w:p>
        </w:tc>
        <w:tc>
          <w:tcPr>
            <w:tcW w:w="1109" w:type="dxa"/>
            <w:tcBorders>
              <w:top w:val="nil"/>
              <w:left w:val="nil"/>
              <w:bottom w:val="nil"/>
              <w:right w:val="single" w:sz="8" w:space="0" w:color="auto"/>
            </w:tcBorders>
            <w:shd w:val="clear" w:color="auto" w:fill="auto"/>
            <w:noWrap/>
            <w:vAlign w:val="center"/>
            <w:hideMark/>
          </w:tcPr>
          <w:p w14:paraId="4EAEC21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0·306</w:t>
            </w:r>
          </w:p>
        </w:tc>
      </w:tr>
      <w:tr w:rsidR="00967712" w:rsidRPr="00967712" w14:paraId="722F0069" w14:textId="77777777" w:rsidTr="00582317">
        <w:trPr>
          <w:trHeight w:val="167"/>
        </w:trPr>
        <w:tc>
          <w:tcPr>
            <w:tcW w:w="3201" w:type="dxa"/>
            <w:tcBorders>
              <w:top w:val="nil"/>
              <w:left w:val="single" w:sz="8" w:space="0" w:color="auto"/>
              <w:bottom w:val="nil"/>
              <w:right w:val="nil"/>
            </w:tcBorders>
            <w:shd w:val="clear" w:color="auto" w:fill="auto"/>
            <w:noWrap/>
            <w:vAlign w:val="center"/>
            <w:hideMark/>
          </w:tcPr>
          <w:p w14:paraId="5B41365E" w14:textId="77777777" w:rsidR="00967712" w:rsidRPr="00967712" w:rsidRDefault="00967712" w:rsidP="00967712">
            <w:pPr>
              <w:spacing w:after="0" w:line="240" w:lineRule="auto"/>
              <w:ind w:firstLineChars="100" w:firstLine="160"/>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Fever and cough care seeking (%)</w:t>
            </w:r>
            <w:r w:rsidRPr="00967712">
              <w:rPr>
                <w:rFonts w:ascii="Calibri" w:eastAsia="Times New Roman" w:hAnsi="Calibri" w:cs="Times New Roman"/>
                <w:color w:val="000000"/>
                <w:sz w:val="20"/>
                <w:szCs w:val="20"/>
                <w:vertAlign w:val="superscript"/>
                <w:lang w:val="en-GB"/>
              </w:rPr>
              <w:t>2</w:t>
            </w:r>
          </w:p>
        </w:tc>
        <w:tc>
          <w:tcPr>
            <w:tcW w:w="1288" w:type="dxa"/>
            <w:tcBorders>
              <w:top w:val="nil"/>
              <w:left w:val="single" w:sz="4" w:space="0" w:color="auto"/>
              <w:bottom w:val="nil"/>
              <w:right w:val="single" w:sz="4" w:space="0" w:color="auto"/>
            </w:tcBorders>
            <w:shd w:val="clear" w:color="auto" w:fill="auto"/>
            <w:noWrap/>
            <w:vAlign w:val="center"/>
            <w:hideMark/>
          </w:tcPr>
          <w:p w14:paraId="6FCF920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75%</w:t>
            </w:r>
          </w:p>
        </w:tc>
        <w:tc>
          <w:tcPr>
            <w:tcW w:w="1288" w:type="dxa"/>
            <w:tcBorders>
              <w:top w:val="nil"/>
              <w:left w:val="nil"/>
              <w:bottom w:val="nil"/>
              <w:right w:val="single" w:sz="4" w:space="0" w:color="auto"/>
            </w:tcBorders>
            <w:shd w:val="clear" w:color="auto" w:fill="auto"/>
            <w:noWrap/>
            <w:vAlign w:val="center"/>
            <w:hideMark/>
          </w:tcPr>
          <w:p w14:paraId="09222D9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45%</w:t>
            </w:r>
          </w:p>
        </w:tc>
        <w:tc>
          <w:tcPr>
            <w:tcW w:w="1823" w:type="dxa"/>
            <w:tcBorders>
              <w:top w:val="nil"/>
              <w:left w:val="nil"/>
              <w:bottom w:val="nil"/>
              <w:right w:val="single" w:sz="4" w:space="0" w:color="auto"/>
            </w:tcBorders>
            <w:shd w:val="clear" w:color="auto" w:fill="auto"/>
            <w:noWrap/>
            <w:vAlign w:val="center"/>
            <w:hideMark/>
          </w:tcPr>
          <w:p w14:paraId="7F3C279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0·003</w:t>
            </w:r>
          </w:p>
        </w:tc>
        <w:tc>
          <w:tcPr>
            <w:tcW w:w="1308" w:type="dxa"/>
            <w:tcBorders>
              <w:top w:val="nil"/>
              <w:left w:val="nil"/>
              <w:bottom w:val="nil"/>
              <w:right w:val="single" w:sz="4" w:space="0" w:color="auto"/>
            </w:tcBorders>
            <w:shd w:val="clear" w:color="auto" w:fill="auto"/>
            <w:noWrap/>
            <w:vAlign w:val="center"/>
            <w:hideMark/>
          </w:tcPr>
          <w:p w14:paraId="41C8947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69%</w:t>
            </w:r>
          </w:p>
        </w:tc>
        <w:tc>
          <w:tcPr>
            <w:tcW w:w="1446" w:type="dxa"/>
            <w:tcBorders>
              <w:top w:val="nil"/>
              <w:left w:val="nil"/>
              <w:bottom w:val="nil"/>
              <w:right w:val="single" w:sz="4" w:space="0" w:color="auto"/>
            </w:tcBorders>
            <w:shd w:val="clear" w:color="auto" w:fill="auto"/>
            <w:noWrap/>
            <w:vAlign w:val="center"/>
            <w:hideMark/>
          </w:tcPr>
          <w:p w14:paraId="46F5735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42%</w:t>
            </w:r>
          </w:p>
        </w:tc>
        <w:tc>
          <w:tcPr>
            <w:tcW w:w="1783" w:type="dxa"/>
            <w:tcBorders>
              <w:top w:val="nil"/>
              <w:left w:val="nil"/>
              <w:bottom w:val="nil"/>
              <w:right w:val="single" w:sz="4" w:space="0" w:color="auto"/>
            </w:tcBorders>
            <w:shd w:val="clear" w:color="auto" w:fill="auto"/>
            <w:noWrap/>
            <w:vAlign w:val="center"/>
            <w:hideMark/>
          </w:tcPr>
          <w:p w14:paraId="515610E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0·004</w:t>
            </w:r>
          </w:p>
        </w:tc>
        <w:tc>
          <w:tcPr>
            <w:tcW w:w="1109" w:type="dxa"/>
            <w:tcBorders>
              <w:top w:val="nil"/>
              <w:left w:val="nil"/>
              <w:bottom w:val="nil"/>
              <w:right w:val="single" w:sz="8" w:space="0" w:color="auto"/>
            </w:tcBorders>
            <w:shd w:val="clear" w:color="auto" w:fill="auto"/>
            <w:noWrap/>
            <w:vAlign w:val="center"/>
            <w:hideMark/>
          </w:tcPr>
          <w:p w14:paraId="6DD3D21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0·396</w:t>
            </w:r>
          </w:p>
        </w:tc>
      </w:tr>
      <w:tr w:rsidR="00967712" w:rsidRPr="00967712" w14:paraId="2432C78F"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102FB05D"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Child caretaking practices and child safety</w:t>
            </w:r>
          </w:p>
        </w:tc>
        <w:tc>
          <w:tcPr>
            <w:tcW w:w="1288" w:type="dxa"/>
            <w:tcBorders>
              <w:top w:val="nil"/>
              <w:left w:val="single" w:sz="4" w:space="0" w:color="auto"/>
              <w:bottom w:val="nil"/>
              <w:right w:val="single" w:sz="4" w:space="0" w:color="auto"/>
            </w:tcBorders>
            <w:shd w:val="clear" w:color="auto" w:fill="auto"/>
            <w:noWrap/>
            <w:vAlign w:val="center"/>
            <w:hideMark/>
          </w:tcPr>
          <w:p w14:paraId="108D88C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20C4D51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823" w:type="dxa"/>
            <w:tcBorders>
              <w:top w:val="nil"/>
              <w:left w:val="nil"/>
              <w:bottom w:val="nil"/>
              <w:right w:val="single" w:sz="4" w:space="0" w:color="auto"/>
            </w:tcBorders>
            <w:shd w:val="clear" w:color="auto" w:fill="auto"/>
            <w:noWrap/>
            <w:vAlign w:val="center"/>
            <w:hideMark/>
          </w:tcPr>
          <w:p w14:paraId="3A30BAC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308" w:type="dxa"/>
            <w:tcBorders>
              <w:top w:val="nil"/>
              <w:left w:val="nil"/>
              <w:bottom w:val="nil"/>
              <w:right w:val="single" w:sz="4" w:space="0" w:color="auto"/>
            </w:tcBorders>
            <w:shd w:val="clear" w:color="auto" w:fill="auto"/>
            <w:noWrap/>
            <w:vAlign w:val="center"/>
            <w:hideMark/>
          </w:tcPr>
          <w:p w14:paraId="7A7A978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446" w:type="dxa"/>
            <w:tcBorders>
              <w:top w:val="nil"/>
              <w:left w:val="nil"/>
              <w:bottom w:val="nil"/>
              <w:right w:val="single" w:sz="4" w:space="0" w:color="auto"/>
            </w:tcBorders>
            <w:shd w:val="clear" w:color="auto" w:fill="auto"/>
            <w:noWrap/>
            <w:vAlign w:val="center"/>
            <w:hideMark/>
          </w:tcPr>
          <w:p w14:paraId="4C13B5B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783" w:type="dxa"/>
            <w:tcBorders>
              <w:top w:val="nil"/>
              <w:left w:val="nil"/>
              <w:bottom w:val="nil"/>
              <w:right w:val="single" w:sz="4" w:space="0" w:color="auto"/>
            </w:tcBorders>
            <w:shd w:val="clear" w:color="auto" w:fill="auto"/>
            <w:noWrap/>
            <w:vAlign w:val="center"/>
            <w:hideMark/>
          </w:tcPr>
          <w:p w14:paraId="2B2FE73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center"/>
            <w:hideMark/>
          </w:tcPr>
          <w:p w14:paraId="67C5A40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r>
      <w:tr w:rsidR="00967712" w:rsidRPr="00967712" w14:paraId="08497E04"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4B1E8E11" w14:textId="77777777" w:rsidR="00967712" w:rsidRPr="00967712" w:rsidRDefault="00967712" w:rsidP="00967712">
            <w:pPr>
              <w:spacing w:after="0" w:line="240" w:lineRule="auto"/>
              <w:ind w:firstLineChars="100" w:firstLine="160"/>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Use of any violent discipline (%)</w:t>
            </w:r>
          </w:p>
        </w:tc>
        <w:tc>
          <w:tcPr>
            <w:tcW w:w="1288" w:type="dxa"/>
            <w:tcBorders>
              <w:top w:val="nil"/>
              <w:left w:val="single" w:sz="4" w:space="0" w:color="auto"/>
              <w:bottom w:val="nil"/>
              <w:right w:val="single" w:sz="4" w:space="0" w:color="auto"/>
            </w:tcBorders>
            <w:shd w:val="clear" w:color="auto" w:fill="auto"/>
            <w:noWrap/>
            <w:vAlign w:val="center"/>
            <w:hideMark/>
          </w:tcPr>
          <w:p w14:paraId="6E3D093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32%</w:t>
            </w:r>
          </w:p>
        </w:tc>
        <w:tc>
          <w:tcPr>
            <w:tcW w:w="1288" w:type="dxa"/>
            <w:tcBorders>
              <w:top w:val="nil"/>
              <w:left w:val="nil"/>
              <w:bottom w:val="nil"/>
              <w:right w:val="single" w:sz="4" w:space="0" w:color="auto"/>
            </w:tcBorders>
            <w:shd w:val="clear" w:color="auto" w:fill="auto"/>
            <w:noWrap/>
            <w:vAlign w:val="center"/>
            <w:hideMark/>
          </w:tcPr>
          <w:p w14:paraId="3696E05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46%</w:t>
            </w:r>
          </w:p>
        </w:tc>
        <w:tc>
          <w:tcPr>
            <w:tcW w:w="1823" w:type="dxa"/>
            <w:tcBorders>
              <w:top w:val="nil"/>
              <w:left w:val="nil"/>
              <w:bottom w:val="nil"/>
              <w:right w:val="single" w:sz="4" w:space="0" w:color="auto"/>
            </w:tcBorders>
            <w:shd w:val="clear" w:color="auto" w:fill="auto"/>
            <w:noWrap/>
            <w:vAlign w:val="center"/>
            <w:hideMark/>
          </w:tcPr>
          <w:p w14:paraId="552A2CE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308" w:type="dxa"/>
            <w:tcBorders>
              <w:top w:val="nil"/>
              <w:left w:val="nil"/>
              <w:bottom w:val="nil"/>
              <w:right w:val="single" w:sz="4" w:space="0" w:color="auto"/>
            </w:tcBorders>
            <w:shd w:val="clear" w:color="auto" w:fill="auto"/>
            <w:noWrap/>
            <w:vAlign w:val="center"/>
            <w:hideMark/>
          </w:tcPr>
          <w:p w14:paraId="4E0A2B1B"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0·26</w:t>
            </w:r>
          </w:p>
        </w:tc>
        <w:tc>
          <w:tcPr>
            <w:tcW w:w="1446" w:type="dxa"/>
            <w:tcBorders>
              <w:top w:val="nil"/>
              <w:left w:val="nil"/>
              <w:bottom w:val="nil"/>
              <w:right w:val="single" w:sz="4" w:space="0" w:color="auto"/>
            </w:tcBorders>
            <w:shd w:val="clear" w:color="auto" w:fill="auto"/>
            <w:noWrap/>
            <w:vAlign w:val="center"/>
            <w:hideMark/>
          </w:tcPr>
          <w:p w14:paraId="77248EA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0·44</w:t>
            </w:r>
          </w:p>
        </w:tc>
        <w:tc>
          <w:tcPr>
            <w:tcW w:w="1783" w:type="dxa"/>
            <w:tcBorders>
              <w:top w:val="nil"/>
              <w:left w:val="nil"/>
              <w:bottom w:val="nil"/>
              <w:right w:val="single" w:sz="4" w:space="0" w:color="auto"/>
            </w:tcBorders>
            <w:shd w:val="clear" w:color="auto" w:fill="auto"/>
            <w:noWrap/>
            <w:vAlign w:val="center"/>
            <w:hideMark/>
          </w:tcPr>
          <w:p w14:paraId="5082D4A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109" w:type="dxa"/>
            <w:tcBorders>
              <w:top w:val="nil"/>
              <w:left w:val="nil"/>
              <w:bottom w:val="nil"/>
              <w:right w:val="single" w:sz="8" w:space="0" w:color="auto"/>
            </w:tcBorders>
            <w:shd w:val="clear" w:color="auto" w:fill="auto"/>
            <w:noWrap/>
            <w:vAlign w:val="center"/>
            <w:hideMark/>
          </w:tcPr>
          <w:p w14:paraId="4624AE8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0·227</w:t>
            </w:r>
          </w:p>
        </w:tc>
      </w:tr>
      <w:tr w:rsidR="00967712" w:rsidRPr="00967712" w14:paraId="0174F59C" w14:textId="77777777" w:rsidTr="00582317">
        <w:trPr>
          <w:trHeight w:val="158"/>
        </w:trPr>
        <w:tc>
          <w:tcPr>
            <w:tcW w:w="3201" w:type="dxa"/>
            <w:tcBorders>
              <w:top w:val="nil"/>
              <w:left w:val="single" w:sz="8" w:space="0" w:color="auto"/>
              <w:bottom w:val="nil"/>
              <w:right w:val="nil"/>
            </w:tcBorders>
            <w:shd w:val="clear" w:color="auto" w:fill="auto"/>
            <w:noWrap/>
            <w:vAlign w:val="center"/>
            <w:hideMark/>
          </w:tcPr>
          <w:p w14:paraId="06741FAC" w14:textId="77777777" w:rsidR="00967712" w:rsidRPr="00967712" w:rsidRDefault="00967712" w:rsidP="00967712">
            <w:pPr>
              <w:spacing w:after="0" w:line="240" w:lineRule="auto"/>
              <w:ind w:firstLineChars="100" w:firstLine="160"/>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Exclusive non-violent discipline (%)</w:t>
            </w:r>
          </w:p>
        </w:tc>
        <w:tc>
          <w:tcPr>
            <w:tcW w:w="1288" w:type="dxa"/>
            <w:tcBorders>
              <w:top w:val="nil"/>
              <w:left w:val="single" w:sz="4" w:space="0" w:color="auto"/>
              <w:bottom w:val="nil"/>
              <w:right w:val="single" w:sz="4" w:space="0" w:color="auto"/>
            </w:tcBorders>
            <w:shd w:val="clear" w:color="auto" w:fill="auto"/>
            <w:noWrap/>
            <w:vAlign w:val="center"/>
            <w:hideMark/>
          </w:tcPr>
          <w:p w14:paraId="2FEFB02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14%</w:t>
            </w:r>
          </w:p>
        </w:tc>
        <w:tc>
          <w:tcPr>
            <w:tcW w:w="1288" w:type="dxa"/>
            <w:tcBorders>
              <w:top w:val="nil"/>
              <w:left w:val="nil"/>
              <w:bottom w:val="nil"/>
              <w:right w:val="single" w:sz="4" w:space="0" w:color="auto"/>
            </w:tcBorders>
            <w:shd w:val="clear" w:color="auto" w:fill="auto"/>
            <w:noWrap/>
            <w:vAlign w:val="center"/>
            <w:hideMark/>
          </w:tcPr>
          <w:p w14:paraId="1945712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8%</w:t>
            </w:r>
          </w:p>
        </w:tc>
        <w:tc>
          <w:tcPr>
            <w:tcW w:w="1823" w:type="dxa"/>
            <w:tcBorders>
              <w:top w:val="nil"/>
              <w:left w:val="nil"/>
              <w:bottom w:val="nil"/>
              <w:right w:val="single" w:sz="4" w:space="0" w:color="auto"/>
            </w:tcBorders>
            <w:shd w:val="clear" w:color="auto" w:fill="auto"/>
            <w:noWrap/>
            <w:vAlign w:val="center"/>
            <w:hideMark/>
          </w:tcPr>
          <w:p w14:paraId="1812CCB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0·056</w:t>
            </w:r>
          </w:p>
        </w:tc>
        <w:tc>
          <w:tcPr>
            <w:tcW w:w="1308" w:type="dxa"/>
            <w:tcBorders>
              <w:top w:val="nil"/>
              <w:left w:val="nil"/>
              <w:bottom w:val="nil"/>
              <w:right w:val="single" w:sz="4" w:space="0" w:color="auto"/>
            </w:tcBorders>
            <w:shd w:val="clear" w:color="auto" w:fill="auto"/>
            <w:noWrap/>
            <w:vAlign w:val="center"/>
            <w:hideMark/>
          </w:tcPr>
          <w:p w14:paraId="244489B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13%</w:t>
            </w:r>
          </w:p>
        </w:tc>
        <w:tc>
          <w:tcPr>
            <w:tcW w:w="1446" w:type="dxa"/>
            <w:tcBorders>
              <w:top w:val="nil"/>
              <w:left w:val="nil"/>
              <w:bottom w:val="nil"/>
              <w:right w:val="single" w:sz="4" w:space="0" w:color="auto"/>
            </w:tcBorders>
            <w:shd w:val="clear" w:color="auto" w:fill="auto"/>
            <w:noWrap/>
            <w:vAlign w:val="center"/>
            <w:hideMark/>
          </w:tcPr>
          <w:p w14:paraId="7464B16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7%</w:t>
            </w:r>
          </w:p>
        </w:tc>
        <w:tc>
          <w:tcPr>
            <w:tcW w:w="1783" w:type="dxa"/>
            <w:tcBorders>
              <w:top w:val="nil"/>
              <w:left w:val="nil"/>
              <w:bottom w:val="nil"/>
              <w:right w:val="single" w:sz="4" w:space="0" w:color="auto"/>
            </w:tcBorders>
            <w:shd w:val="clear" w:color="auto" w:fill="auto"/>
            <w:noWrap/>
            <w:vAlign w:val="center"/>
            <w:hideMark/>
          </w:tcPr>
          <w:p w14:paraId="55F7DBB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0·061</w:t>
            </w:r>
          </w:p>
        </w:tc>
        <w:tc>
          <w:tcPr>
            <w:tcW w:w="1109" w:type="dxa"/>
            <w:tcBorders>
              <w:top w:val="nil"/>
              <w:left w:val="nil"/>
              <w:bottom w:val="nil"/>
              <w:right w:val="single" w:sz="8" w:space="0" w:color="auto"/>
            </w:tcBorders>
            <w:shd w:val="clear" w:color="auto" w:fill="auto"/>
            <w:noWrap/>
            <w:vAlign w:val="center"/>
            <w:hideMark/>
          </w:tcPr>
          <w:p w14:paraId="20B601E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0·636</w:t>
            </w:r>
          </w:p>
        </w:tc>
      </w:tr>
      <w:tr w:rsidR="00967712" w:rsidRPr="00967712" w14:paraId="1730FBD8"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7EFF1598"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 xml:space="preserve"> CAREGIVER OUTCOMES (N=1,498) </w:t>
            </w:r>
          </w:p>
        </w:tc>
        <w:tc>
          <w:tcPr>
            <w:tcW w:w="1288" w:type="dxa"/>
            <w:tcBorders>
              <w:top w:val="nil"/>
              <w:left w:val="single" w:sz="4" w:space="0" w:color="auto"/>
              <w:bottom w:val="nil"/>
              <w:right w:val="single" w:sz="4" w:space="0" w:color="auto"/>
            </w:tcBorders>
            <w:shd w:val="clear" w:color="auto" w:fill="auto"/>
            <w:noWrap/>
            <w:vAlign w:val="center"/>
            <w:hideMark/>
          </w:tcPr>
          <w:p w14:paraId="1AEC63B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79B9BC9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823" w:type="dxa"/>
            <w:tcBorders>
              <w:top w:val="nil"/>
              <w:left w:val="nil"/>
              <w:bottom w:val="nil"/>
              <w:right w:val="single" w:sz="4" w:space="0" w:color="auto"/>
            </w:tcBorders>
            <w:shd w:val="clear" w:color="auto" w:fill="auto"/>
            <w:noWrap/>
            <w:vAlign w:val="center"/>
            <w:hideMark/>
          </w:tcPr>
          <w:p w14:paraId="6584E2A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308" w:type="dxa"/>
            <w:tcBorders>
              <w:top w:val="nil"/>
              <w:left w:val="nil"/>
              <w:bottom w:val="nil"/>
              <w:right w:val="single" w:sz="4" w:space="0" w:color="auto"/>
            </w:tcBorders>
            <w:shd w:val="clear" w:color="auto" w:fill="auto"/>
            <w:noWrap/>
            <w:vAlign w:val="center"/>
            <w:hideMark/>
          </w:tcPr>
          <w:p w14:paraId="35F79C1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446" w:type="dxa"/>
            <w:tcBorders>
              <w:top w:val="nil"/>
              <w:left w:val="nil"/>
              <w:bottom w:val="nil"/>
              <w:right w:val="single" w:sz="4" w:space="0" w:color="auto"/>
            </w:tcBorders>
            <w:shd w:val="clear" w:color="auto" w:fill="auto"/>
            <w:noWrap/>
            <w:vAlign w:val="center"/>
            <w:hideMark/>
          </w:tcPr>
          <w:p w14:paraId="772C41D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783" w:type="dxa"/>
            <w:tcBorders>
              <w:top w:val="nil"/>
              <w:left w:val="nil"/>
              <w:bottom w:val="nil"/>
              <w:right w:val="single" w:sz="4" w:space="0" w:color="auto"/>
            </w:tcBorders>
            <w:shd w:val="clear" w:color="auto" w:fill="auto"/>
            <w:noWrap/>
            <w:vAlign w:val="center"/>
            <w:hideMark/>
          </w:tcPr>
          <w:p w14:paraId="77E708B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center"/>
            <w:hideMark/>
          </w:tcPr>
          <w:p w14:paraId="7545F0B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r>
      <w:tr w:rsidR="00967712" w:rsidRPr="00967712" w14:paraId="106D07D9"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4D3A5314"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lastRenderedPageBreak/>
              <w:t>Caregiver mental health</w:t>
            </w:r>
          </w:p>
        </w:tc>
        <w:tc>
          <w:tcPr>
            <w:tcW w:w="1288" w:type="dxa"/>
            <w:tcBorders>
              <w:top w:val="nil"/>
              <w:left w:val="single" w:sz="4" w:space="0" w:color="auto"/>
              <w:bottom w:val="nil"/>
              <w:right w:val="single" w:sz="4" w:space="0" w:color="auto"/>
            </w:tcBorders>
            <w:shd w:val="clear" w:color="auto" w:fill="auto"/>
            <w:noWrap/>
            <w:vAlign w:val="center"/>
            <w:hideMark/>
          </w:tcPr>
          <w:p w14:paraId="5191F64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67A24E6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823" w:type="dxa"/>
            <w:tcBorders>
              <w:top w:val="nil"/>
              <w:left w:val="nil"/>
              <w:bottom w:val="nil"/>
              <w:right w:val="single" w:sz="4" w:space="0" w:color="auto"/>
            </w:tcBorders>
            <w:shd w:val="clear" w:color="auto" w:fill="auto"/>
            <w:noWrap/>
            <w:vAlign w:val="center"/>
            <w:hideMark/>
          </w:tcPr>
          <w:p w14:paraId="58A7616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308" w:type="dxa"/>
            <w:tcBorders>
              <w:top w:val="nil"/>
              <w:left w:val="nil"/>
              <w:bottom w:val="nil"/>
              <w:right w:val="single" w:sz="4" w:space="0" w:color="auto"/>
            </w:tcBorders>
            <w:shd w:val="clear" w:color="auto" w:fill="auto"/>
            <w:noWrap/>
            <w:vAlign w:val="center"/>
            <w:hideMark/>
          </w:tcPr>
          <w:p w14:paraId="28504991"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446" w:type="dxa"/>
            <w:tcBorders>
              <w:top w:val="nil"/>
              <w:left w:val="nil"/>
              <w:bottom w:val="nil"/>
              <w:right w:val="single" w:sz="4" w:space="0" w:color="auto"/>
            </w:tcBorders>
            <w:shd w:val="clear" w:color="auto" w:fill="auto"/>
            <w:noWrap/>
            <w:vAlign w:val="center"/>
            <w:hideMark/>
          </w:tcPr>
          <w:p w14:paraId="2B230C6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783" w:type="dxa"/>
            <w:tcBorders>
              <w:top w:val="nil"/>
              <w:left w:val="nil"/>
              <w:bottom w:val="nil"/>
              <w:right w:val="single" w:sz="4" w:space="0" w:color="auto"/>
            </w:tcBorders>
            <w:shd w:val="clear" w:color="auto" w:fill="auto"/>
            <w:noWrap/>
            <w:vAlign w:val="center"/>
            <w:hideMark/>
          </w:tcPr>
          <w:p w14:paraId="7A9FA541"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center"/>
            <w:hideMark/>
          </w:tcPr>
          <w:p w14:paraId="5993A6A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r>
      <w:tr w:rsidR="00967712" w:rsidRPr="00967712" w14:paraId="015F7EBC" w14:textId="77777777" w:rsidTr="00582317">
        <w:trPr>
          <w:trHeight w:val="149"/>
        </w:trPr>
        <w:tc>
          <w:tcPr>
            <w:tcW w:w="3201" w:type="dxa"/>
            <w:tcBorders>
              <w:top w:val="nil"/>
              <w:left w:val="single" w:sz="8" w:space="0" w:color="auto"/>
              <w:bottom w:val="nil"/>
              <w:right w:val="nil"/>
            </w:tcBorders>
            <w:shd w:val="clear" w:color="auto" w:fill="auto"/>
            <w:noWrap/>
            <w:vAlign w:val="center"/>
            <w:hideMark/>
          </w:tcPr>
          <w:p w14:paraId="41D2C5A1"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Screens for internalizing problems (%)</w:t>
            </w:r>
          </w:p>
        </w:tc>
        <w:tc>
          <w:tcPr>
            <w:tcW w:w="1288" w:type="dxa"/>
            <w:tcBorders>
              <w:top w:val="nil"/>
              <w:left w:val="single" w:sz="4" w:space="0" w:color="auto"/>
              <w:bottom w:val="nil"/>
              <w:right w:val="single" w:sz="4" w:space="0" w:color="auto"/>
            </w:tcBorders>
            <w:shd w:val="clear" w:color="auto" w:fill="auto"/>
            <w:noWrap/>
            <w:vAlign w:val="center"/>
            <w:hideMark/>
          </w:tcPr>
          <w:p w14:paraId="4DF49B5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17% </w:t>
            </w:r>
          </w:p>
        </w:tc>
        <w:tc>
          <w:tcPr>
            <w:tcW w:w="1288" w:type="dxa"/>
            <w:tcBorders>
              <w:top w:val="nil"/>
              <w:left w:val="nil"/>
              <w:bottom w:val="nil"/>
              <w:right w:val="single" w:sz="4" w:space="0" w:color="auto"/>
            </w:tcBorders>
            <w:shd w:val="clear" w:color="auto" w:fill="auto"/>
            <w:noWrap/>
            <w:vAlign w:val="center"/>
            <w:hideMark/>
          </w:tcPr>
          <w:p w14:paraId="3BF90B8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22%</w:t>
            </w:r>
          </w:p>
        </w:tc>
        <w:tc>
          <w:tcPr>
            <w:tcW w:w="1823" w:type="dxa"/>
            <w:tcBorders>
              <w:top w:val="nil"/>
              <w:left w:val="nil"/>
              <w:bottom w:val="nil"/>
              <w:right w:val="single" w:sz="4" w:space="0" w:color="auto"/>
            </w:tcBorders>
            <w:shd w:val="clear" w:color="auto" w:fill="auto"/>
            <w:noWrap/>
            <w:vAlign w:val="center"/>
            <w:hideMark/>
          </w:tcPr>
          <w:p w14:paraId="5C3B7A6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0·002</w:t>
            </w:r>
          </w:p>
        </w:tc>
        <w:tc>
          <w:tcPr>
            <w:tcW w:w="1308" w:type="dxa"/>
            <w:tcBorders>
              <w:top w:val="nil"/>
              <w:left w:val="nil"/>
              <w:bottom w:val="nil"/>
              <w:right w:val="single" w:sz="4" w:space="0" w:color="auto"/>
            </w:tcBorders>
            <w:shd w:val="clear" w:color="auto" w:fill="auto"/>
            <w:noWrap/>
            <w:vAlign w:val="center"/>
            <w:hideMark/>
          </w:tcPr>
          <w:p w14:paraId="70D49FA1"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35%</w:t>
            </w:r>
          </w:p>
        </w:tc>
        <w:tc>
          <w:tcPr>
            <w:tcW w:w="1446" w:type="dxa"/>
            <w:tcBorders>
              <w:top w:val="nil"/>
              <w:left w:val="nil"/>
              <w:bottom w:val="nil"/>
              <w:right w:val="single" w:sz="4" w:space="0" w:color="auto"/>
            </w:tcBorders>
            <w:shd w:val="clear" w:color="auto" w:fill="auto"/>
            <w:noWrap/>
            <w:vAlign w:val="center"/>
            <w:hideMark/>
          </w:tcPr>
          <w:p w14:paraId="27FCE33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25%</w:t>
            </w:r>
          </w:p>
        </w:tc>
        <w:tc>
          <w:tcPr>
            <w:tcW w:w="1783" w:type="dxa"/>
            <w:tcBorders>
              <w:top w:val="nil"/>
              <w:left w:val="nil"/>
              <w:bottom w:val="nil"/>
              <w:right w:val="single" w:sz="4" w:space="0" w:color="auto"/>
            </w:tcBorders>
            <w:shd w:val="clear" w:color="auto" w:fill="auto"/>
            <w:noWrap/>
            <w:vAlign w:val="center"/>
            <w:hideMark/>
          </w:tcPr>
          <w:p w14:paraId="2BA68FD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0·982</w:t>
            </w:r>
          </w:p>
        </w:tc>
        <w:tc>
          <w:tcPr>
            <w:tcW w:w="1109" w:type="dxa"/>
            <w:tcBorders>
              <w:top w:val="nil"/>
              <w:left w:val="nil"/>
              <w:bottom w:val="nil"/>
              <w:right w:val="single" w:sz="8" w:space="0" w:color="auto"/>
            </w:tcBorders>
            <w:shd w:val="clear" w:color="auto" w:fill="auto"/>
            <w:noWrap/>
            <w:vAlign w:val="center"/>
            <w:hideMark/>
          </w:tcPr>
          <w:p w14:paraId="2FE8646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0·126 </w:t>
            </w:r>
          </w:p>
        </w:tc>
      </w:tr>
      <w:tr w:rsidR="00967712" w:rsidRPr="00967712" w14:paraId="0928CB92"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478DAD31"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Shared decision making</w:t>
            </w:r>
            <w:r w:rsidRPr="00967712">
              <w:rPr>
                <w:rFonts w:ascii="Calibri" w:eastAsia="Times New Roman" w:hAnsi="Calibri" w:cs="Times New Roman"/>
                <w:b/>
                <w:bCs/>
                <w:color w:val="000000"/>
                <w:sz w:val="20"/>
                <w:szCs w:val="20"/>
                <w:vertAlign w:val="superscript"/>
                <w:lang w:val="en-GB"/>
              </w:rPr>
              <w:t>3</w:t>
            </w:r>
          </w:p>
        </w:tc>
        <w:tc>
          <w:tcPr>
            <w:tcW w:w="1288" w:type="dxa"/>
            <w:tcBorders>
              <w:top w:val="nil"/>
              <w:left w:val="single" w:sz="4" w:space="0" w:color="auto"/>
              <w:bottom w:val="nil"/>
              <w:right w:val="single" w:sz="4" w:space="0" w:color="auto"/>
            </w:tcBorders>
            <w:shd w:val="clear" w:color="auto" w:fill="auto"/>
            <w:noWrap/>
            <w:vAlign w:val="center"/>
            <w:hideMark/>
          </w:tcPr>
          <w:p w14:paraId="213A01C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4963E1F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823" w:type="dxa"/>
            <w:tcBorders>
              <w:top w:val="nil"/>
              <w:left w:val="nil"/>
              <w:bottom w:val="nil"/>
              <w:right w:val="single" w:sz="4" w:space="0" w:color="auto"/>
            </w:tcBorders>
            <w:shd w:val="clear" w:color="auto" w:fill="auto"/>
            <w:noWrap/>
            <w:vAlign w:val="center"/>
            <w:hideMark/>
          </w:tcPr>
          <w:p w14:paraId="17E0F8C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308" w:type="dxa"/>
            <w:tcBorders>
              <w:top w:val="nil"/>
              <w:left w:val="nil"/>
              <w:bottom w:val="nil"/>
              <w:right w:val="single" w:sz="4" w:space="0" w:color="auto"/>
            </w:tcBorders>
            <w:shd w:val="clear" w:color="auto" w:fill="auto"/>
            <w:noWrap/>
            <w:vAlign w:val="center"/>
            <w:hideMark/>
          </w:tcPr>
          <w:p w14:paraId="2CB3E22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446" w:type="dxa"/>
            <w:tcBorders>
              <w:top w:val="nil"/>
              <w:left w:val="nil"/>
              <w:bottom w:val="nil"/>
              <w:right w:val="single" w:sz="4" w:space="0" w:color="auto"/>
            </w:tcBorders>
            <w:shd w:val="clear" w:color="auto" w:fill="auto"/>
            <w:noWrap/>
            <w:vAlign w:val="center"/>
            <w:hideMark/>
          </w:tcPr>
          <w:p w14:paraId="0BF7A41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783" w:type="dxa"/>
            <w:tcBorders>
              <w:top w:val="nil"/>
              <w:left w:val="nil"/>
              <w:bottom w:val="nil"/>
              <w:right w:val="single" w:sz="4" w:space="0" w:color="auto"/>
            </w:tcBorders>
            <w:shd w:val="clear" w:color="auto" w:fill="auto"/>
            <w:noWrap/>
            <w:vAlign w:val="center"/>
            <w:hideMark/>
          </w:tcPr>
          <w:p w14:paraId="365E1F5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center"/>
            <w:hideMark/>
          </w:tcPr>
          <w:p w14:paraId="53E4BCB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r>
      <w:tr w:rsidR="00967712" w:rsidRPr="00967712" w14:paraId="05DF7216" w14:textId="77777777" w:rsidTr="00582317">
        <w:trPr>
          <w:trHeight w:val="123"/>
        </w:trPr>
        <w:tc>
          <w:tcPr>
            <w:tcW w:w="3201" w:type="dxa"/>
            <w:tcBorders>
              <w:top w:val="nil"/>
              <w:left w:val="single" w:sz="8" w:space="0" w:color="auto"/>
              <w:bottom w:val="nil"/>
              <w:right w:val="nil"/>
            </w:tcBorders>
            <w:shd w:val="clear" w:color="auto" w:fill="auto"/>
            <w:noWrap/>
            <w:vAlign w:val="center"/>
            <w:hideMark/>
          </w:tcPr>
          <w:p w14:paraId="7D1642A7"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Action when child sick (%)</w:t>
            </w:r>
          </w:p>
        </w:tc>
        <w:tc>
          <w:tcPr>
            <w:tcW w:w="1288" w:type="dxa"/>
            <w:tcBorders>
              <w:top w:val="nil"/>
              <w:left w:val="single" w:sz="4" w:space="0" w:color="auto"/>
              <w:bottom w:val="nil"/>
              <w:right w:val="single" w:sz="4" w:space="0" w:color="auto"/>
            </w:tcBorders>
            <w:shd w:val="clear" w:color="auto" w:fill="auto"/>
            <w:noWrap/>
            <w:vAlign w:val="center"/>
            <w:hideMark/>
          </w:tcPr>
          <w:p w14:paraId="5A07FDB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38%</w:t>
            </w:r>
          </w:p>
        </w:tc>
        <w:tc>
          <w:tcPr>
            <w:tcW w:w="1288" w:type="dxa"/>
            <w:tcBorders>
              <w:top w:val="nil"/>
              <w:left w:val="nil"/>
              <w:bottom w:val="nil"/>
              <w:right w:val="single" w:sz="4" w:space="0" w:color="auto"/>
            </w:tcBorders>
            <w:shd w:val="clear" w:color="auto" w:fill="auto"/>
            <w:noWrap/>
            <w:vAlign w:val="center"/>
            <w:hideMark/>
          </w:tcPr>
          <w:p w14:paraId="7F9D823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22%</w:t>
            </w:r>
          </w:p>
        </w:tc>
        <w:tc>
          <w:tcPr>
            <w:tcW w:w="1823" w:type="dxa"/>
            <w:tcBorders>
              <w:top w:val="nil"/>
              <w:left w:val="nil"/>
              <w:bottom w:val="nil"/>
              <w:right w:val="single" w:sz="4" w:space="0" w:color="auto"/>
            </w:tcBorders>
            <w:shd w:val="clear" w:color="auto" w:fill="auto"/>
            <w:noWrap/>
            <w:vAlign w:val="center"/>
            <w:hideMark/>
          </w:tcPr>
          <w:p w14:paraId="58985F6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&lt;0·001</w:t>
            </w:r>
          </w:p>
        </w:tc>
        <w:tc>
          <w:tcPr>
            <w:tcW w:w="1308" w:type="dxa"/>
            <w:tcBorders>
              <w:top w:val="nil"/>
              <w:left w:val="nil"/>
              <w:bottom w:val="nil"/>
              <w:right w:val="single" w:sz="4" w:space="0" w:color="auto"/>
            </w:tcBorders>
            <w:shd w:val="clear" w:color="auto" w:fill="auto"/>
            <w:noWrap/>
            <w:vAlign w:val="center"/>
            <w:hideMark/>
          </w:tcPr>
          <w:p w14:paraId="6891B95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32%</w:t>
            </w:r>
          </w:p>
        </w:tc>
        <w:tc>
          <w:tcPr>
            <w:tcW w:w="1446" w:type="dxa"/>
            <w:tcBorders>
              <w:top w:val="nil"/>
              <w:left w:val="nil"/>
              <w:bottom w:val="nil"/>
              <w:right w:val="single" w:sz="4" w:space="0" w:color="auto"/>
            </w:tcBorders>
            <w:shd w:val="clear" w:color="auto" w:fill="auto"/>
            <w:noWrap/>
            <w:vAlign w:val="center"/>
            <w:hideMark/>
          </w:tcPr>
          <w:p w14:paraId="397FB87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25%</w:t>
            </w:r>
          </w:p>
        </w:tc>
        <w:tc>
          <w:tcPr>
            <w:tcW w:w="1783" w:type="dxa"/>
            <w:tcBorders>
              <w:top w:val="nil"/>
              <w:left w:val="nil"/>
              <w:bottom w:val="nil"/>
              <w:right w:val="single" w:sz="4" w:space="0" w:color="auto"/>
            </w:tcBorders>
            <w:shd w:val="clear" w:color="auto" w:fill="auto"/>
            <w:noWrap/>
            <w:vAlign w:val="center"/>
            <w:hideMark/>
          </w:tcPr>
          <w:p w14:paraId="73D464C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0·313</w:t>
            </w:r>
          </w:p>
        </w:tc>
        <w:tc>
          <w:tcPr>
            <w:tcW w:w="1109" w:type="dxa"/>
            <w:tcBorders>
              <w:top w:val="nil"/>
              <w:left w:val="nil"/>
              <w:bottom w:val="nil"/>
              <w:right w:val="single" w:sz="8" w:space="0" w:color="auto"/>
            </w:tcBorders>
            <w:shd w:val="clear" w:color="auto" w:fill="auto"/>
            <w:noWrap/>
            <w:vAlign w:val="center"/>
            <w:hideMark/>
          </w:tcPr>
          <w:p w14:paraId="362A0A71"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0·016</w:t>
            </w:r>
          </w:p>
        </w:tc>
      </w:tr>
      <w:tr w:rsidR="00967712" w:rsidRPr="00967712" w14:paraId="337E340D"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68287215"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What child eats (%)</w:t>
            </w:r>
          </w:p>
        </w:tc>
        <w:tc>
          <w:tcPr>
            <w:tcW w:w="1288" w:type="dxa"/>
            <w:tcBorders>
              <w:top w:val="nil"/>
              <w:left w:val="single" w:sz="4" w:space="0" w:color="auto"/>
              <w:bottom w:val="nil"/>
              <w:right w:val="single" w:sz="4" w:space="0" w:color="auto"/>
            </w:tcBorders>
            <w:shd w:val="clear" w:color="auto" w:fill="auto"/>
            <w:noWrap/>
            <w:vAlign w:val="center"/>
            <w:hideMark/>
          </w:tcPr>
          <w:p w14:paraId="72AD836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19%</w:t>
            </w:r>
          </w:p>
        </w:tc>
        <w:tc>
          <w:tcPr>
            <w:tcW w:w="1288" w:type="dxa"/>
            <w:tcBorders>
              <w:top w:val="nil"/>
              <w:left w:val="nil"/>
              <w:bottom w:val="nil"/>
              <w:right w:val="single" w:sz="4" w:space="0" w:color="auto"/>
            </w:tcBorders>
            <w:shd w:val="clear" w:color="auto" w:fill="auto"/>
            <w:noWrap/>
            <w:vAlign w:val="center"/>
            <w:hideMark/>
          </w:tcPr>
          <w:p w14:paraId="0596858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11%</w:t>
            </w:r>
          </w:p>
        </w:tc>
        <w:tc>
          <w:tcPr>
            <w:tcW w:w="1823" w:type="dxa"/>
            <w:tcBorders>
              <w:top w:val="nil"/>
              <w:left w:val="nil"/>
              <w:bottom w:val="nil"/>
              <w:right w:val="single" w:sz="4" w:space="0" w:color="auto"/>
            </w:tcBorders>
            <w:shd w:val="clear" w:color="auto" w:fill="auto"/>
            <w:noWrap/>
            <w:vAlign w:val="center"/>
            <w:hideMark/>
          </w:tcPr>
          <w:p w14:paraId="7A8D124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0·035</w:t>
            </w:r>
          </w:p>
        </w:tc>
        <w:tc>
          <w:tcPr>
            <w:tcW w:w="1308" w:type="dxa"/>
            <w:tcBorders>
              <w:top w:val="nil"/>
              <w:left w:val="nil"/>
              <w:bottom w:val="nil"/>
              <w:right w:val="single" w:sz="4" w:space="0" w:color="auto"/>
            </w:tcBorders>
            <w:shd w:val="clear" w:color="auto" w:fill="auto"/>
            <w:noWrap/>
            <w:vAlign w:val="center"/>
            <w:hideMark/>
          </w:tcPr>
          <w:p w14:paraId="1102711B"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11%</w:t>
            </w:r>
          </w:p>
        </w:tc>
        <w:tc>
          <w:tcPr>
            <w:tcW w:w="1446" w:type="dxa"/>
            <w:tcBorders>
              <w:top w:val="nil"/>
              <w:left w:val="nil"/>
              <w:bottom w:val="nil"/>
              <w:right w:val="single" w:sz="4" w:space="0" w:color="auto"/>
            </w:tcBorders>
            <w:shd w:val="clear" w:color="auto" w:fill="auto"/>
            <w:noWrap/>
            <w:vAlign w:val="center"/>
            <w:hideMark/>
          </w:tcPr>
          <w:p w14:paraId="25B9C77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13% </w:t>
            </w:r>
          </w:p>
        </w:tc>
        <w:tc>
          <w:tcPr>
            <w:tcW w:w="1783" w:type="dxa"/>
            <w:tcBorders>
              <w:top w:val="nil"/>
              <w:left w:val="nil"/>
              <w:bottom w:val="nil"/>
              <w:right w:val="single" w:sz="4" w:space="0" w:color="auto"/>
            </w:tcBorders>
            <w:shd w:val="clear" w:color="auto" w:fill="auto"/>
            <w:noWrap/>
            <w:vAlign w:val="center"/>
            <w:hideMark/>
          </w:tcPr>
          <w:p w14:paraId="6326E67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0·104</w:t>
            </w:r>
          </w:p>
        </w:tc>
        <w:tc>
          <w:tcPr>
            <w:tcW w:w="1109" w:type="dxa"/>
            <w:tcBorders>
              <w:top w:val="nil"/>
              <w:left w:val="nil"/>
              <w:bottom w:val="nil"/>
              <w:right w:val="single" w:sz="8" w:space="0" w:color="auto"/>
            </w:tcBorders>
            <w:shd w:val="clear" w:color="auto" w:fill="auto"/>
            <w:noWrap/>
            <w:vAlign w:val="center"/>
            <w:hideMark/>
          </w:tcPr>
          <w:p w14:paraId="66645E3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0·020</w:t>
            </w:r>
          </w:p>
        </w:tc>
      </w:tr>
      <w:tr w:rsidR="00967712" w:rsidRPr="00967712" w14:paraId="511019EF" w14:textId="77777777" w:rsidTr="00582317">
        <w:trPr>
          <w:trHeight w:val="202"/>
        </w:trPr>
        <w:tc>
          <w:tcPr>
            <w:tcW w:w="3201" w:type="dxa"/>
            <w:tcBorders>
              <w:top w:val="nil"/>
              <w:left w:val="single" w:sz="8" w:space="0" w:color="auto"/>
              <w:bottom w:val="nil"/>
              <w:right w:val="nil"/>
            </w:tcBorders>
            <w:shd w:val="clear" w:color="auto" w:fill="auto"/>
            <w:noWrap/>
            <w:vAlign w:val="center"/>
            <w:hideMark/>
          </w:tcPr>
          <w:p w14:paraId="0B9F9DAF"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Intimate partner violence</w:t>
            </w:r>
          </w:p>
        </w:tc>
        <w:tc>
          <w:tcPr>
            <w:tcW w:w="1288" w:type="dxa"/>
            <w:tcBorders>
              <w:top w:val="nil"/>
              <w:left w:val="single" w:sz="4" w:space="0" w:color="auto"/>
              <w:bottom w:val="nil"/>
              <w:right w:val="single" w:sz="4" w:space="0" w:color="auto"/>
            </w:tcBorders>
            <w:shd w:val="clear" w:color="auto" w:fill="auto"/>
            <w:noWrap/>
            <w:vAlign w:val="center"/>
            <w:hideMark/>
          </w:tcPr>
          <w:p w14:paraId="0570F69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59B0417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823" w:type="dxa"/>
            <w:tcBorders>
              <w:top w:val="nil"/>
              <w:left w:val="nil"/>
              <w:bottom w:val="nil"/>
              <w:right w:val="single" w:sz="4" w:space="0" w:color="auto"/>
            </w:tcBorders>
            <w:shd w:val="clear" w:color="auto" w:fill="auto"/>
            <w:noWrap/>
            <w:vAlign w:val="center"/>
            <w:hideMark/>
          </w:tcPr>
          <w:p w14:paraId="59CD3B5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308" w:type="dxa"/>
            <w:tcBorders>
              <w:top w:val="nil"/>
              <w:left w:val="nil"/>
              <w:bottom w:val="nil"/>
              <w:right w:val="single" w:sz="4" w:space="0" w:color="auto"/>
            </w:tcBorders>
            <w:shd w:val="clear" w:color="auto" w:fill="auto"/>
            <w:noWrap/>
            <w:vAlign w:val="center"/>
            <w:hideMark/>
          </w:tcPr>
          <w:p w14:paraId="3169634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446" w:type="dxa"/>
            <w:tcBorders>
              <w:top w:val="nil"/>
              <w:left w:val="nil"/>
              <w:bottom w:val="nil"/>
              <w:right w:val="single" w:sz="4" w:space="0" w:color="auto"/>
            </w:tcBorders>
            <w:shd w:val="clear" w:color="auto" w:fill="auto"/>
            <w:noWrap/>
            <w:vAlign w:val="center"/>
            <w:hideMark/>
          </w:tcPr>
          <w:p w14:paraId="33124DE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783" w:type="dxa"/>
            <w:tcBorders>
              <w:top w:val="nil"/>
              <w:left w:val="nil"/>
              <w:bottom w:val="nil"/>
              <w:right w:val="single" w:sz="4" w:space="0" w:color="auto"/>
            </w:tcBorders>
            <w:shd w:val="clear" w:color="auto" w:fill="auto"/>
            <w:noWrap/>
            <w:vAlign w:val="center"/>
            <w:hideMark/>
          </w:tcPr>
          <w:p w14:paraId="60431F6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center"/>
            <w:hideMark/>
          </w:tcPr>
          <w:p w14:paraId="0A17E09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r>
      <w:tr w:rsidR="00967712" w:rsidRPr="00967712" w14:paraId="6D96AEFD"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71BFC32F"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Perpetration, male caregivers (%)</w:t>
            </w:r>
            <w:r w:rsidRPr="00967712">
              <w:rPr>
                <w:rFonts w:ascii="Calibri" w:eastAsia="Times New Roman" w:hAnsi="Calibri" w:cs="Times New Roman"/>
                <w:color w:val="000000"/>
                <w:sz w:val="6"/>
                <w:szCs w:val="6"/>
                <w:vertAlign w:val="superscript"/>
                <w:lang w:val="en-GB"/>
              </w:rPr>
              <w:t>3</w:t>
            </w:r>
          </w:p>
        </w:tc>
        <w:tc>
          <w:tcPr>
            <w:tcW w:w="1288" w:type="dxa"/>
            <w:tcBorders>
              <w:top w:val="nil"/>
              <w:left w:val="single" w:sz="4" w:space="0" w:color="auto"/>
              <w:bottom w:val="nil"/>
              <w:right w:val="single" w:sz="4" w:space="0" w:color="auto"/>
            </w:tcBorders>
            <w:shd w:val="clear" w:color="auto" w:fill="auto"/>
            <w:noWrap/>
            <w:vAlign w:val="center"/>
            <w:hideMark/>
          </w:tcPr>
          <w:p w14:paraId="64AFC85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8%</w:t>
            </w:r>
          </w:p>
        </w:tc>
        <w:tc>
          <w:tcPr>
            <w:tcW w:w="1288" w:type="dxa"/>
            <w:tcBorders>
              <w:top w:val="nil"/>
              <w:left w:val="nil"/>
              <w:bottom w:val="nil"/>
              <w:right w:val="single" w:sz="4" w:space="0" w:color="auto"/>
            </w:tcBorders>
            <w:shd w:val="clear" w:color="auto" w:fill="auto"/>
            <w:noWrap/>
            <w:vAlign w:val="center"/>
            <w:hideMark/>
          </w:tcPr>
          <w:p w14:paraId="46A5FC4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7%</w:t>
            </w:r>
          </w:p>
        </w:tc>
        <w:tc>
          <w:tcPr>
            <w:tcW w:w="1823" w:type="dxa"/>
            <w:tcBorders>
              <w:top w:val="nil"/>
              <w:left w:val="nil"/>
              <w:bottom w:val="nil"/>
              <w:right w:val="single" w:sz="4" w:space="0" w:color="auto"/>
            </w:tcBorders>
            <w:shd w:val="clear" w:color="auto" w:fill="auto"/>
            <w:noWrap/>
            <w:vAlign w:val="center"/>
            <w:hideMark/>
          </w:tcPr>
          <w:p w14:paraId="68CC635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0·516</w:t>
            </w:r>
          </w:p>
        </w:tc>
        <w:tc>
          <w:tcPr>
            <w:tcW w:w="1308" w:type="dxa"/>
            <w:tcBorders>
              <w:top w:val="nil"/>
              <w:left w:val="nil"/>
              <w:bottom w:val="nil"/>
              <w:right w:val="single" w:sz="4" w:space="0" w:color="auto"/>
            </w:tcBorders>
            <w:shd w:val="clear" w:color="auto" w:fill="auto"/>
            <w:noWrap/>
            <w:vAlign w:val="center"/>
            <w:hideMark/>
          </w:tcPr>
          <w:p w14:paraId="040B22B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w:t>
            </w:r>
          </w:p>
        </w:tc>
        <w:tc>
          <w:tcPr>
            <w:tcW w:w="1446" w:type="dxa"/>
            <w:tcBorders>
              <w:top w:val="nil"/>
              <w:left w:val="nil"/>
              <w:bottom w:val="nil"/>
              <w:right w:val="single" w:sz="4" w:space="0" w:color="auto"/>
            </w:tcBorders>
            <w:shd w:val="clear" w:color="auto" w:fill="auto"/>
            <w:noWrap/>
            <w:vAlign w:val="center"/>
            <w:hideMark/>
          </w:tcPr>
          <w:p w14:paraId="3A3FD63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7%</w:t>
            </w:r>
          </w:p>
        </w:tc>
        <w:tc>
          <w:tcPr>
            <w:tcW w:w="1783" w:type="dxa"/>
            <w:tcBorders>
              <w:top w:val="nil"/>
              <w:left w:val="nil"/>
              <w:bottom w:val="nil"/>
              <w:right w:val="single" w:sz="4" w:space="0" w:color="auto"/>
            </w:tcBorders>
            <w:shd w:val="clear" w:color="auto" w:fill="auto"/>
            <w:noWrap/>
            <w:vAlign w:val="center"/>
            <w:hideMark/>
          </w:tcPr>
          <w:p w14:paraId="3E08FE7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0·039</w:t>
            </w:r>
          </w:p>
        </w:tc>
        <w:tc>
          <w:tcPr>
            <w:tcW w:w="1109" w:type="dxa"/>
            <w:tcBorders>
              <w:top w:val="nil"/>
              <w:left w:val="nil"/>
              <w:bottom w:val="nil"/>
              <w:right w:val="single" w:sz="8" w:space="0" w:color="auto"/>
            </w:tcBorders>
            <w:shd w:val="clear" w:color="auto" w:fill="auto"/>
            <w:noWrap/>
            <w:vAlign w:val="center"/>
            <w:hideMark/>
          </w:tcPr>
          <w:p w14:paraId="7A175EA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 0·031</w:t>
            </w:r>
          </w:p>
        </w:tc>
      </w:tr>
      <w:tr w:rsidR="00967712" w:rsidRPr="00967712" w14:paraId="40675998" w14:textId="77777777" w:rsidTr="00582317">
        <w:trPr>
          <w:trHeight w:val="229"/>
        </w:trPr>
        <w:tc>
          <w:tcPr>
            <w:tcW w:w="3201" w:type="dxa"/>
            <w:tcBorders>
              <w:top w:val="nil"/>
              <w:left w:val="single" w:sz="8" w:space="0" w:color="auto"/>
              <w:bottom w:val="nil"/>
              <w:right w:val="nil"/>
            </w:tcBorders>
            <w:shd w:val="clear" w:color="auto" w:fill="auto"/>
            <w:noWrap/>
            <w:vAlign w:val="center"/>
            <w:hideMark/>
          </w:tcPr>
          <w:p w14:paraId="48C41207"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Victimization, female caregivers (%)</w:t>
            </w:r>
            <w:r w:rsidRPr="00967712">
              <w:rPr>
                <w:rFonts w:ascii="Calibri" w:eastAsia="Times New Roman" w:hAnsi="Calibri" w:cs="Times New Roman"/>
                <w:color w:val="000000"/>
                <w:sz w:val="20"/>
                <w:szCs w:val="20"/>
                <w:vertAlign w:val="superscript"/>
                <w:lang w:val="en-GB"/>
              </w:rPr>
              <w:t>3</w:t>
            </w:r>
          </w:p>
        </w:tc>
        <w:tc>
          <w:tcPr>
            <w:tcW w:w="1288" w:type="dxa"/>
            <w:tcBorders>
              <w:top w:val="nil"/>
              <w:left w:val="single" w:sz="4" w:space="0" w:color="auto"/>
              <w:bottom w:val="nil"/>
              <w:right w:val="single" w:sz="4" w:space="0" w:color="auto"/>
            </w:tcBorders>
            <w:shd w:val="clear" w:color="auto" w:fill="auto"/>
            <w:noWrap/>
            <w:vAlign w:val="center"/>
            <w:hideMark/>
          </w:tcPr>
          <w:p w14:paraId="24F4629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16%</w:t>
            </w:r>
          </w:p>
        </w:tc>
        <w:tc>
          <w:tcPr>
            <w:tcW w:w="1288" w:type="dxa"/>
            <w:tcBorders>
              <w:top w:val="nil"/>
              <w:left w:val="nil"/>
              <w:bottom w:val="nil"/>
              <w:right w:val="single" w:sz="4" w:space="0" w:color="auto"/>
            </w:tcBorders>
            <w:shd w:val="clear" w:color="auto" w:fill="auto"/>
            <w:noWrap/>
            <w:vAlign w:val="center"/>
            <w:hideMark/>
          </w:tcPr>
          <w:p w14:paraId="4E77491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21%</w:t>
            </w:r>
          </w:p>
        </w:tc>
        <w:tc>
          <w:tcPr>
            <w:tcW w:w="1823" w:type="dxa"/>
            <w:tcBorders>
              <w:top w:val="nil"/>
              <w:left w:val="nil"/>
              <w:bottom w:val="nil"/>
              <w:right w:val="single" w:sz="4" w:space="0" w:color="auto"/>
            </w:tcBorders>
            <w:shd w:val="clear" w:color="auto" w:fill="auto"/>
            <w:noWrap/>
            <w:vAlign w:val="center"/>
            <w:hideMark/>
          </w:tcPr>
          <w:p w14:paraId="513B07F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0·056</w:t>
            </w:r>
          </w:p>
        </w:tc>
        <w:tc>
          <w:tcPr>
            <w:tcW w:w="1308" w:type="dxa"/>
            <w:tcBorders>
              <w:top w:val="nil"/>
              <w:left w:val="nil"/>
              <w:bottom w:val="nil"/>
              <w:right w:val="single" w:sz="4" w:space="0" w:color="auto"/>
            </w:tcBorders>
            <w:shd w:val="clear" w:color="auto" w:fill="auto"/>
            <w:noWrap/>
            <w:vAlign w:val="center"/>
            <w:hideMark/>
          </w:tcPr>
          <w:p w14:paraId="60AC583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19%</w:t>
            </w:r>
          </w:p>
        </w:tc>
        <w:tc>
          <w:tcPr>
            <w:tcW w:w="1446" w:type="dxa"/>
            <w:tcBorders>
              <w:top w:val="nil"/>
              <w:left w:val="nil"/>
              <w:bottom w:val="nil"/>
              <w:right w:val="single" w:sz="4" w:space="0" w:color="auto"/>
            </w:tcBorders>
            <w:shd w:val="clear" w:color="auto" w:fill="auto"/>
            <w:noWrap/>
            <w:vAlign w:val="center"/>
            <w:hideMark/>
          </w:tcPr>
          <w:p w14:paraId="4EC0B0C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33%</w:t>
            </w:r>
          </w:p>
        </w:tc>
        <w:tc>
          <w:tcPr>
            <w:tcW w:w="1783" w:type="dxa"/>
            <w:tcBorders>
              <w:top w:val="nil"/>
              <w:left w:val="nil"/>
              <w:bottom w:val="nil"/>
              <w:right w:val="single" w:sz="4" w:space="0" w:color="auto"/>
            </w:tcBorders>
            <w:shd w:val="clear" w:color="auto" w:fill="auto"/>
            <w:noWrap/>
            <w:vAlign w:val="center"/>
            <w:hideMark/>
          </w:tcPr>
          <w:p w14:paraId="514BE0F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0·460 </w:t>
            </w:r>
          </w:p>
        </w:tc>
        <w:tc>
          <w:tcPr>
            <w:tcW w:w="1109" w:type="dxa"/>
            <w:tcBorders>
              <w:top w:val="nil"/>
              <w:left w:val="nil"/>
              <w:bottom w:val="nil"/>
              <w:right w:val="single" w:sz="8" w:space="0" w:color="auto"/>
            </w:tcBorders>
            <w:shd w:val="clear" w:color="auto" w:fill="auto"/>
            <w:noWrap/>
            <w:vAlign w:val="center"/>
            <w:hideMark/>
          </w:tcPr>
          <w:p w14:paraId="6701856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0·864 </w:t>
            </w:r>
          </w:p>
        </w:tc>
      </w:tr>
      <w:tr w:rsidR="00967712" w:rsidRPr="00967712" w14:paraId="46AE687E" w14:textId="77777777" w:rsidTr="00582317">
        <w:trPr>
          <w:trHeight w:val="352"/>
        </w:trPr>
        <w:tc>
          <w:tcPr>
            <w:tcW w:w="3201" w:type="dxa"/>
            <w:tcBorders>
              <w:top w:val="nil"/>
              <w:left w:val="single" w:sz="8" w:space="0" w:color="auto"/>
              <w:bottom w:val="nil"/>
              <w:right w:val="nil"/>
            </w:tcBorders>
            <w:shd w:val="clear" w:color="auto" w:fill="auto"/>
            <w:noWrap/>
            <w:vAlign w:val="center"/>
            <w:hideMark/>
          </w:tcPr>
          <w:p w14:paraId="57E4F741"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HOUSEHOLD OUTCOMES (N=1,049)</w:t>
            </w:r>
            <w:r w:rsidRPr="00967712">
              <w:rPr>
                <w:rFonts w:ascii="Arial" w:eastAsia="Times New Roman" w:hAnsi="Arial" w:cs="Arial"/>
                <w:color w:val="000000"/>
                <w:sz w:val="16"/>
                <w:szCs w:val="16"/>
                <w:lang w:val="en-GB"/>
              </w:rPr>
              <w:t> </w:t>
            </w:r>
          </w:p>
        </w:tc>
        <w:tc>
          <w:tcPr>
            <w:tcW w:w="1288" w:type="dxa"/>
            <w:tcBorders>
              <w:top w:val="nil"/>
              <w:left w:val="single" w:sz="4" w:space="0" w:color="auto"/>
              <w:bottom w:val="nil"/>
              <w:right w:val="single" w:sz="4" w:space="0" w:color="auto"/>
            </w:tcBorders>
            <w:shd w:val="clear" w:color="auto" w:fill="auto"/>
            <w:noWrap/>
            <w:vAlign w:val="center"/>
            <w:hideMark/>
          </w:tcPr>
          <w:p w14:paraId="05EE6D0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26DA6FE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823" w:type="dxa"/>
            <w:tcBorders>
              <w:top w:val="nil"/>
              <w:left w:val="nil"/>
              <w:bottom w:val="nil"/>
              <w:right w:val="single" w:sz="4" w:space="0" w:color="auto"/>
            </w:tcBorders>
            <w:shd w:val="clear" w:color="auto" w:fill="auto"/>
            <w:noWrap/>
            <w:vAlign w:val="center"/>
            <w:hideMark/>
          </w:tcPr>
          <w:p w14:paraId="2503C52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308" w:type="dxa"/>
            <w:tcBorders>
              <w:top w:val="nil"/>
              <w:left w:val="nil"/>
              <w:bottom w:val="nil"/>
              <w:right w:val="single" w:sz="4" w:space="0" w:color="auto"/>
            </w:tcBorders>
            <w:shd w:val="clear" w:color="auto" w:fill="auto"/>
            <w:noWrap/>
            <w:vAlign w:val="center"/>
            <w:hideMark/>
          </w:tcPr>
          <w:p w14:paraId="1CAEAFD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446" w:type="dxa"/>
            <w:tcBorders>
              <w:top w:val="nil"/>
              <w:left w:val="nil"/>
              <w:bottom w:val="nil"/>
              <w:right w:val="single" w:sz="4" w:space="0" w:color="auto"/>
            </w:tcBorders>
            <w:shd w:val="clear" w:color="auto" w:fill="auto"/>
            <w:noWrap/>
            <w:vAlign w:val="center"/>
            <w:hideMark/>
          </w:tcPr>
          <w:p w14:paraId="749CF36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783" w:type="dxa"/>
            <w:tcBorders>
              <w:top w:val="nil"/>
              <w:left w:val="nil"/>
              <w:bottom w:val="nil"/>
              <w:right w:val="single" w:sz="4" w:space="0" w:color="auto"/>
            </w:tcBorders>
            <w:shd w:val="clear" w:color="auto" w:fill="auto"/>
            <w:noWrap/>
            <w:vAlign w:val="center"/>
            <w:hideMark/>
          </w:tcPr>
          <w:p w14:paraId="4432422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center"/>
            <w:hideMark/>
          </w:tcPr>
          <w:p w14:paraId="5721CC7B"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r>
      <w:tr w:rsidR="00967712" w:rsidRPr="00967712" w14:paraId="35B84F4E" w14:textId="77777777" w:rsidTr="00582317">
        <w:trPr>
          <w:trHeight w:val="194"/>
        </w:trPr>
        <w:tc>
          <w:tcPr>
            <w:tcW w:w="3201" w:type="dxa"/>
            <w:tcBorders>
              <w:top w:val="nil"/>
              <w:left w:val="single" w:sz="8" w:space="0" w:color="auto"/>
              <w:bottom w:val="nil"/>
              <w:right w:val="nil"/>
            </w:tcBorders>
            <w:shd w:val="clear" w:color="auto" w:fill="auto"/>
            <w:noWrap/>
            <w:vAlign w:val="center"/>
            <w:hideMark/>
          </w:tcPr>
          <w:p w14:paraId="2BEB9380"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Water, hygiene and sanitation</w:t>
            </w:r>
          </w:p>
        </w:tc>
        <w:tc>
          <w:tcPr>
            <w:tcW w:w="1288" w:type="dxa"/>
            <w:tcBorders>
              <w:top w:val="nil"/>
              <w:left w:val="single" w:sz="4" w:space="0" w:color="auto"/>
              <w:bottom w:val="nil"/>
              <w:right w:val="single" w:sz="4" w:space="0" w:color="auto"/>
            </w:tcBorders>
            <w:shd w:val="clear" w:color="auto" w:fill="auto"/>
            <w:noWrap/>
            <w:vAlign w:val="center"/>
            <w:hideMark/>
          </w:tcPr>
          <w:p w14:paraId="0786544B"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475C7CF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823" w:type="dxa"/>
            <w:tcBorders>
              <w:top w:val="nil"/>
              <w:left w:val="nil"/>
              <w:bottom w:val="nil"/>
              <w:right w:val="single" w:sz="4" w:space="0" w:color="auto"/>
            </w:tcBorders>
            <w:shd w:val="clear" w:color="auto" w:fill="auto"/>
            <w:noWrap/>
            <w:vAlign w:val="center"/>
            <w:hideMark/>
          </w:tcPr>
          <w:p w14:paraId="4232E0A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308" w:type="dxa"/>
            <w:tcBorders>
              <w:top w:val="nil"/>
              <w:left w:val="nil"/>
              <w:bottom w:val="nil"/>
              <w:right w:val="single" w:sz="4" w:space="0" w:color="auto"/>
            </w:tcBorders>
            <w:shd w:val="clear" w:color="auto" w:fill="auto"/>
            <w:noWrap/>
            <w:vAlign w:val="center"/>
            <w:hideMark/>
          </w:tcPr>
          <w:p w14:paraId="34E1471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446" w:type="dxa"/>
            <w:tcBorders>
              <w:top w:val="nil"/>
              <w:left w:val="nil"/>
              <w:bottom w:val="nil"/>
              <w:right w:val="single" w:sz="4" w:space="0" w:color="auto"/>
            </w:tcBorders>
            <w:shd w:val="clear" w:color="auto" w:fill="auto"/>
            <w:noWrap/>
            <w:vAlign w:val="center"/>
            <w:hideMark/>
          </w:tcPr>
          <w:p w14:paraId="4171818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783" w:type="dxa"/>
            <w:tcBorders>
              <w:top w:val="nil"/>
              <w:left w:val="nil"/>
              <w:bottom w:val="nil"/>
              <w:right w:val="single" w:sz="4" w:space="0" w:color="auto"/>
            </w:tcBorders>
            <w:shd w:val="clear" w:color="auto" w:fill="auto"/>
            <w:noWrap/>
            <w:vAlign w:val="center"/>
            <w:hideMark/>
          </w:tcPr>
          <w:p w14:paraId="3A82935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center"/>
            <w:hideMark/>
          </w:tcPr>
          <w:p w14:paraId="3E5A9FF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r>
      <w:tr w:rsidR="00967712" w:rsidRPr="00967712" w14:paraId="6733D0C6" w14:textId="77777777" w:rsidTr="00582317">
        <w:trPr>
          <w:trHeight w:val="238"/>
        </w:trPr>
        <w:tc>
          <w:tcPr>
            <w:tcW w:w="3201" w:type="dxa"/>
            <w:tcBorders>
              <w:top w:val="nil"/>
              <w:left w:val="single" w:sz="8" w:space="0" w:color="auto"/>
              <w:bottom w:val="nil"/>
              <w:right w:val="nil"/>
            </w:tcBorders>
            <w:shd w:val="clear" w:color="auto" w:fill="auto"/>
            <w:noWrap/>
            <w:vAlign w:val="center"/>
            <w:hideMark/>
          </w:tcPr>
          <w:p w14:paraId="7AC7251F"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Place with soap to wash hands (%)</w:t>
            </w:r>
          </w:p>
        </w:tc>
        <w:tc>
          <w:tcPr>
            <w:tcW w:w="1288" w:type="dxa"/>
            <w:tcBorders>
              <w:top w:val="nil"/>
              <w:left w:val="single" w:sz="4" w:space="0" w:color="auto"/>
              <w:bottom w:val="nil"/>
              <w:right w:val="single" w:sz="4" w:space="0" w:color="auto"/>
            </w:tcBorders>
            <w:shd w:val="clear" w:color="auto" w:fill="auto"/>
            <w:noWrap/>
            <w:vAlign w:val="center"/>
            <w:hideMark/>
          </w:tcPr>
          <w:p w14:paraId="44E8028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89%</w:t>
            </w:r>
          </w:p>
        </w:tc>
        <w:tc>
          <w:tcPr>
            <w:tcW w:w="1288" w:type="dxa"/>
            <w:tcBorders>
              <w:top w:val="nil"/>
              <w:left w:val="nil"/>
              <w:bottom w:val="nil"/>
              <w:right w:val="single" w:sz="4" w:space="0" w:color="auto"/>
            </w:tcBorders>
            <w:shd w:val="clear" w:color="auto" w:fill="auto"/>
            <w:noWrap/>
            <w:vAlign w:val="center"/>
            <w:hideMark/>
          </w:tcPr>
          <w:p w14:paraId="13B6076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81%</w:t>
            </w:r>
          </w:p>
        </w:tc>
        <w:tc>
          <w:tcPr>
            <w:tcW w:w="1823" w:type="dxa"/>
            <w:tcBorders>
              <w:top w:val="nil"/>
              <w:left w:val="nil"/>
              <w:bottom w:val="nil"/>
              <w:right w:val="single" w:sz="4" w:space="0" w:color="auto"/>
            </w:tcBorders>
            <w:shd w:val="clear" w:color="auto" w:fill="auto"/>
            <w:noWrap/>
            <w:vAlign w:val="center"/>
            <w:hideMark/>
          </w:tcPr>
          <w:p w14:paraId="4945E44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308" w:type="dxa"/>
            <w:tcBorders>
              <w:top w:val="nil"/>
              <w:left w:val="nil"/>
              <w:bottom w:val="nil"/>
              <w:right w:val="single" w:sz="4" w:space="0" w:color="auto"/>
            </w:tcBorders>
            <w:shd w:val="clear" w:color="auto" w:fill="auto"/>
            <w:noWrap/>
            <w:vAlign w:val="center"/>
            <w:hideMark/>
          </w:tcPr>
          <w:p w14:paraId="1952B7E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85%</w:t>
            </w:r>
          </w:p>
        </w:tc>
        <w:tc>
          <w:tcPr>
            <w:tcW w:w="1446" w:type="dxa"/>
            <w:tcBorders>
              <w:top w:val="nil"/>
              <w:left w:val="nil"/>
              <w:bottom w:val="nil"/>
              <w:right w:val="single" w:sz="4" w:space="0" w:color="auto"/>
            </w:tcBorders>
            <w:shd w:val="clear" w:color="auto" w:fill="auto"/>
            <w:noWrap/>
            <w:vAlign w:val="center"/>
            <w:hideMark/>
          </w:tcPr>
          <w:p w14:paraId="15650EE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82%</w:t>
            </w:r>
          </w:p>
        </w:tc>
        <w:tc>
          <w:tcPr>
            <w:tcW w:w="1783" w:type="dxa"/>
            <w:tcBorders>
              <w:top w:val="nil"/>
              <w:left w:val="nil"/>
              <w:bottom w:val="nil"/>
              <w:right w:val="single" w:sz="4" w:space="0" w:color="auto"/>
            </w:tcBorders>
            <w:shd w:val="clear" w:color="auto" w:fill="auto"/>
            <w:noWrap/>
            <w:vAlign w:val="center"/>
            <w:hideMark/>
          </w:tcPr>
          <w:p w14:paraId="60F9776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0·010</w:t>
            </w:r>
          </w:p>
        </w:tc>
        <w:tc>
          <w:tcPr>
            <w:tcW w:w="1109" w:type="dxa"/>
            <w:tcBorders>
              <w:top w:val="nil"/>
              <w:left w:val="nil"/>
              <w:bottom w:val="nil"/>
              <w:right w:val="single" w:sz="8" w:space="0" w:color="auto"/>
            </w:tcBorders>
            <w:shd w:val="clear" w:color="auto" w:fill="auto"/>
            <w:noWrap/>
            <w:vAlign w:val="center"/>
            <w:hideMark/>
          </w:tcPr>
          <w:p w14:paraId="5D6783B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0·141</w:t>
            </w:r>
          </w:p>
        </w:tc>
      </w:tr>
      <w:tr w:rsidR="00967712" w:rsidRPr="00967712" w14:paraId="332E6DD8" w14:textId="77777777" w:rsidTr="00582317">
        <w:trPr>
          <w:trHeight w:val="238"/>
        </w:trPr>
        <w:tc>
          <w:tcPr>
            <w:tcW w:w="3201" w:type="dxa"/>
            <w:tcBorders>
              <w:top w:val="nil"/>
              <w:left w:val="single" w:sz="8" w:space="0" w:color="auto"/>
              <w:bottom w:val="nil"/>
              <w:right w:val="nil"/>
            </w:tcBorders>
            <w:shd w:val="clear" w:color="auto" w:fill="auto"/>
            <w:noWrap/>
            <w:vAlign w:val="center"/>
            <w:hideMark/>
          </w:tcPr>
          <w:p w14:paraId="49DD33F7"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Water treatment (%)</w:t>
            </w:r>
          </w:p>
        </w:tc>
        <w:tc>
          <w:tcPr>
            <w:tcW w:w="1288" w:type="dxa"/>
            <w:tcBorders>
              <w:top w:val="nil"/>
              <w:left w:val="single" w:sz="4" w:space="0" w:color="auto"/>
              <w:bottom w:val="nil"/>
              <w:right w:val="single" w:sz="4" w:space="0" w:color="auto"/>
            </w:tcBorders>
            <w:shd w:val="clear" w:color="auto" w:fill="auto"/>
            <w:noWrap/>
            <w:vAlign w:val="center"/>
            <w:hideMark/>
          </w:tcPr>
          <w:p w14:paraId="461F641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59%</w:t>
            </w:r>
          </w:p>
        </w:tc>
        <w:tc>
          <w:tcPr>
            <w:tcW w:w="1288" w:type="dxa"/>
            <w:tcBorders>
              <w:top w:val="nil"/>
              <w:left w:val="nil"/>
              <w:bottom w:val="nil"/>
              <w:right w:val="single" w:sz="4" w:space="0" w:color="auto"/>
            </w:tcBorders>
            <w:shd w:val="clear" w:color="auto" w:fill="auto"/>
            <w:noWrap/>
            <w:vAlign w:val="center"/>
            <w:hideMark/>
          </w:tcPr>
          <w:p w14:paraId="3D50C77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33%</w:t>
            </w:r>
          </w:p>
        </w:tc>
        <w:tc>
          <w:tcPr>
            <w:tcW w:w="1823" w:type="dxa"/>
            <w:tcBorders>
              <w:top w:val="nil"/>
              <w:left w:val="nil"/>
              <w:bottom w:val="nil"/>
              <w:right w:val="single" w:sz="4" w:space="0" w:color="auto"/>
            </w:tcBorders>
            <w:shd w:val="clear" w:color="auto" w:fill="auto"/>
            <w:noWrap/>
            <w:vAlign w:val="center"/>
            <w:hideMark/>
          </w:tcPr>
          <w:p w14:paraId="5F01D22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308" w:type="dxa"/>
            <w:tcBorders>
              <w:top w:val="nil"/>
              <w:left w:val="nil"/>
              <w:bottom w:val="nil"/>
              <w:right w:val="single" w:sz="4" w:space="0" w:color="auto"/>
            </w:tcBorders>
            <w:shd w:val="clear" w:color="auto" w:fill="auto"/>
            <w:noWrap/>
            <w:vAlign w:val="center"/>
            <w:hideMark/>
          </w:tcPr>
          <w:p w14:paraId="63E8613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77%</w:t>
            </w:r>
          </w:p>
        </w:tc>
        <w:tc>
          <w:tcPr>
            <w:tcW w:w="1446" w:type="dxa"/>
            <w:tcBorders>
              <w:top w:val="nil"/>
              <w:left w:val="nil"/>
              <w:bottom w:val="nil"/>
              <w:right w:val="single" w:sz="4" w:space="0" w:color="auto"/>
            </w:tcBorders>
            <w:shd w:val="clear" w:color="auto" w:fill="auto"/>
            <w:noWrap/>
            <w:vAlign w:val="center"/>
            <w:hideMark/>
          </w:tcPr>
          <w:p w14:paraId="64E71BA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36%</w:t>
            </w:r>
          </w:p>
        </w:tc>
        <w:tc>
          <w:tcPr>
            <w:tcW w:w="1783" w:type="dxa"/>
            <w:tcBorders>
              <w:top w:val="nil"/>
              <w:left w:val="nil"/>
              <w:bottom w:val="nil"/>
              <w:right w:val="single" w:sz="4" w:space="0" w:color="auto"/>
            </w:tcBorders>
            <w:shd w:val="clear" w:color="auto" w:fill="auto"/>
            <w:noWrap/>
            <w:vAlign w:val="center"/>
            <w:hideMark/>
          </w:tcPr>
          <w:p w14:paraId="111DB6B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0·372</w:t>
            </w:r>
          </w:p>
        </w:tc>
        <w:tc>
          <w:tcPr>
            <w:tcW w:w="1109" w:type="dxa"/>
            <w:tcBorders>
              <w:top w:val="nil"/>
              <w:left w:val="nil"/>
              <w:bottom w:val="nil"/>
              <w:right w:val="single" w:sz="8" w:space="0" w:color="auto"/>
            </w:tcBorders>
            <w:shd w:val="clear" w:color="auto" w:fill="auto"/>
            <w:noWrap/>
            <w:vAlign w:val="center"/>
            <w:hideMark/>
          </w:tcPr>
          <w:p w14:paraId="3BF7F99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0·826</w:t>
            </w:r>
          </w:p>
        </w:tc>
      </w:tr>
      <w:tr w:rsidR="00967712" w:rsidRPr="00967712" w14:paraId="4E90BE04" w14:textId="77777777" w:rsidTr="00582317">
        <w:trPr>
          <w:trHeight w:val="176"/>
        </w:trPr>
        <w:tc>
          <w:tcPr>
            <w:tcW w:w="3201" w:type="dxa"/>
            <w:tcBorders>
              <w:top w:val="nil"/>
              <w:left w:val="single" w:sz="8" w:space="0" w:color="auto"/>
              <w:bottom w:val="single" w:sz="8" w:space="0" w:color="auto"/>
              <w:right w:val="nil"/>
            </w:tcBorders>
            <w:shd w:val="clear" w:color="auto" w:fill="auto"/>
            <w:noWrap/>
            <w:vAlign w:val="center"/>
            <w:hideMark/>
          </w:tcPr>
          <w:p w14:paraId="1738D176"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Clean water (%)</w:t>
            </w:r>
          </w:p>
        </w:tc>
        <w:tc>
          <w:tcPr>
            <w:tcW w:w="1288" w:type="dxa"/>
            <w:tcBorders>
              <w:top w:val="nil"/>
              <w:left w:val="single" w:sz="4" w:space="0" w:color="auto"/>
              <w:bottom w:val="single" w:sz="8" w:space="0" w:color="auto"/>
              <w:right w:val="single" w:sz="4" w:space="0" w:color="auto"/>
            </w:tcBorders>
            <w:shd w:val="clear" w:color="auto" w:fill="auto"/>
            <w:noWrap/>
            <w:vAlign w:val="center"/>
            <w:hideMark/>
          </w:tcPr>
          <w:p w14:paraId="79C8551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0·97</w:t>
            </w:r>
          </w:p>
        </w:tc>
        <w:tc>
          <w:tcPr>
            <w:tcW w:w="1288" w:type="dxa"/>
            <w:tcBorders>
              <w:top w:val="nil"/>
              <w:left w:val="nil"/>
              <w:bottom w:val="single" w:sz="8" w:space="0" w:color="auto"/>
              <w:right w:val="single" w:sz="4" w:space="0" w:color="auto"/>
            </w:tcBorders>
            <w:shd w:val="clear" w:color="auto" w:fill="auto"/>
            <w:noWrap/>
            <w:vAlign w:val="center"/>
            <w:hideMark/>
          </w:tcPr>
          <w:p w14:paraId="15760AA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0·97</w:t>
            </w:r>
          </w:p>
        </w:tc>
        <w:tc>
          <w:tcPr>
            <w:tcW w:w="1823" w:type="dxa"/>
            <w:tcBorders>
              <w:top w:val="nil"/>
              <w:left w:val="nil"/>
              <w:bottom w:val="single" w:sz="8" w:space="0" w:color="auto"/>
              <w:right w:val="single" w:sz="4" w:space="0" w:color="auto"/>
            </w:tcBorders>
            <w:shd w:val="clear" w:color="auto" w:fill="auto"/>
            <w:noWrap/>
            <w:vAlign w:val="center"/>
            <w:hideMark/>
          </w:tcPr>
          <w:p w14:paraId="6C84AA9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0·487</w:t>
            </w:r>
          </w:p>
        </w:tc>
        <w:tc>
          <w:tcPr>
            <w:tcW w:w="1308" w:type="dxa"/>
            <w:tcBorders>
              <w:top w:val="nil"/>
              <w:left w:val="nil"/>
              <w:bottom w:val="single" w:sz="8" w:space="0" w:color="auto"/>
              <w:right w:val="single" w:sz="4" w:space="0" w:color="auto"/>
            </w:tcBorders>
            <w:shd w:val="clear" w:color="auto" w:fill="auto"/>
            <w:noWrap/>
            <w:vAlign w:val="center"/>
            <w:hideMark/>
          </w:tcPr>
          <w:p w14:paraId="389287C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98%</w:t>
            </w:r>
          </w:p>
        </w:tc>
        <w:tc>
          <w:tcPr>
            <w:tcW w:w="1446" w:type="dxa"/>
            <w:tcBorders>
              <w:top w:val="nil"/>
              <w:left w:val="nil"/>
              <w:bottom w:val="single" w:sz="8" w:space="0" w:color="auto"/>
              <w:right w:val="single" w:sz="4" w:space="0" w:color="auto"/>
            </w:tcBorders>
            <w:shd w:val="clear" w:color="auto" w:fill="auto"/>
            <w:noWrap/>
            <w:vAlign w:val="center"/>
            <w:hideMark/>
          </w:tcPr>
          <w:p w14:paraId="6870AEF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98%</w:t>
            </w:r>
          </w:p>
        </w:tc>
        <w:tc>
          <w:tcPr>
            <w:tcW w:w="1783" w:type="dxa"/>
            <w:tcBorders>
              <w:top w:val="nil"/>
              <w:left w:val="nil"/>
              <w:bottom w:val="single" w:sz="8" w:space="0" w:color="auto"/>
              <w:right w:val="single" w:sz="4" w:space="0" w:color="auto"/>
            </w:tcBorders>
            <w:shd w:val="clear" w:color="auto" w:fill="auto"/>
            <w:noWrap/>
            <w:vAlign w:val="center"/>
            <w:hideMark/>
          </w:tcPr>
          <w:p w14:paraId="45F6393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0·003</w:t>
            </w:r>
          </w:p>
        </w:tc>
        <w:tc>
          <w:tcPr>
            <w:tcW w:w="1109" w:type="dxa"/>
            <w:tcBorders>
              <w:top w:val="nil"/>
              <w:left w:val="nil"/>
              <w:bottom w:val="single" w:sz="8" w:space="0" w:color="auto"/>
              <w:right w:val="single" w:sz="8" w:space="0" w:color="auto"/>
            </w:tcBorders>
            <w:shd w:val="clear" w:color="auto" w:fill="auto"/>
            <w:noWrap/>
            <w:vAlign w:val="center"/>
            <w:hideMark/>
          </w:tcPr>
          <w:p w14:paraId="11FDBEE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0·066</w:t>
            </w:r>
          </w:p>
        </w:tc>
      </w:tr>
    </w:tbl>
    <w:p w14:paraId="21D67818" w14:textId="77777777" w:rsidR="00967712" w:rsidRPr="00967712" w:rsidRDefault="00967712" w:rsidP="00967712">
      <w:pPr>
        <w:spacing w:after="0" w:line="240" w:lineRule="auto"/>
        <w:rPr>
          <w:rFonts w:ascii="Times" w:eastAsia="Times New Roman" w:hAnsi="Times" w:cs="Arial"/>
          <w:color w:val="000000"/>
          <w:sz w:val="20"/>
          <w:szCs w:val="20"/>
          <w:lang w:val="en-GB"/>
        </w:rPr>
      </w:pPr>
      <w:r w:rsidRPr="00967712">
        <w:rPr>
          <w:rFonts w:ascii="Times" w:eastAsia="Times New Roman" w:hAnsi="Times" w:cs="Arial"/>
          <w:color w:val="000000"/>
          <w:sz w:val="28"/>
          <w:szCs w:val="28"/>
          <w:vertAlign w:val="superscript"/>
          <w:lang w:val="en-GB"/>
        </w:rPr>
        <w:t>1</w:t>
      </w:r>
      <w:r w:rsidRPr="00967712">
        <w:rPr>
          <w:rFonts w:ascii="Times" w:eastAsia="Times New Roman" w:hAnsi="Times" w:cs="Arial"/>
          <w:color w:val="000000"/>
          <w:sz w:val="20"/>
          <w:szCs w:val="20"/>
          <w:lang w:val="en-GB"/>
        </w:rPr>
        <w:t xml:space="preserve">Assesses the significance of the “time-by-treatment-by-public works program” interaction; </w:t>
      </w:r>
      <w:r w:rsidRPr="00967712">
        <w:rPr>
          <w:rFonts w:ascii="Times" w:eastAsia="Times New Roman" w:hAnsi="Times" w:cs="Times New Roman"/>
          <w:sz w:val="28"/>
          <w:szCs w:val="28"/>
          <w:vertAlign w:val="superscript"/>
          <w:lang w:val="en-GB"/>
        </w:rPr>
        <w:t>2</w:t>
      </w:r>
      <w:r w:rsidRPr="00967712">
        <w:rPr>
          <w:rFonts w:ascii="Times" w:eastAsia="Times New Roman" w:hAnsi="Times" w:cs="Times New Roman"/>
          <w:sz w:val="20"/>
          <w:szCs w:val="20"/>
          <w:lang w:val="en-GB"/>
        </w:rPr>
        <w:t xml:space="preserve">Among sick children only; </w:t>
      </w:r>
      <w:r w:rsidRPr="00967712">
        <w:rPr>
          <w:rFonts w:ascii="Times" w:eastAsia="Times New Roman" w:hAnsi="Times" w:cs="Times New Roman"/>
          <w:sz w:val="28"/>
          <w:szCs w:val="28"/>
          <w:vertAlign w:val="superscript"/>
          <w:lang w:val="en-GB"/>
        </w:rPr>
        <w:t xml:space="preserve">3 </w:t>
      </w:r>
      <w:r w:rsidRPr="00967712">
        <w:rPr>
          <w:rFonts w:ascii="Times" w:eastAsia="Times New Roman" w:hAnsi="Times" w:cs="Times New Roman"/>
          <w:sz w:val="20"/>
          <w:szCs w:val="20"/>
          <w:lang w:val="en-GB"/>
        </w:rPr>
        <w:t>Among married or cohabitating caregivers only</w:t>
      </w:r>
    </w:p>
    <w:p w14:paraId="3BCA05FD" w14:textId="77777777" w:rsidR="00967712" w:rsidRPr="00967712" w:rsidRDefault="00967712" w:rsidP="00967712">
      <w:pPr>
        <w:spacing w:after="0" w:line="480" w:lineRule="auto"/>
        <w:rPr>
          <w:rFonts w:ascii="Times" w:eastAsia="Times New Roman" w:hAnsi="Times" w:cs="Times New Roman"/>
          <w:sz w:val="20"/>
          <w:szCs w:val="20"/>
          <w:lang w:val="en-GB"/>
        </w:rPr>
      </w:pPr>
    </w:p>
    <w:p w14:paraId="50548982" w14:textId="77777777" w:rsidR="00967712" w:rsidRPr="00967712" w:rsidRDefault="00967712" w:rsidP="00967712">
      <w:pPr>
        <w:spacing w:after="0" w:line="480" w:lineRule="auto"/>
        <w:rPr>
          <w:rFonts w:ascii="Times" w:eastAsia="Times New Roman" w:hAnsi="Times" w:cs="Times New Roman"/>
          <w:sz w:val="20"/>
          <w:szCs w:val="20"/>
          <w:lang w:val="en-GB"/>
        </w:rPr>
      </w:pPr>
    </w:p>
    <w:p w14:paraId="562C2ED2" w14:textId="77777777" w:rsidR="00967712" w:rsidRPr="00967712" w:rsidRDefault="00967712" w:rsidP="00967712">
      <w:pPr>
        <w:spacing w:after="0" w:line="480" w:lineRule="auto"/>
        <w:rPr>
          <w:rFonts w:ascii="Times New Roman" w:eastAsia="Times New Roman" w:hAnsi="Times New Roman" w:cs="Times New Roman"/>
          <w:sz w:val="24"/>
          <w:szCs w:val="24"/>
          <w:lang w:val="en-GB"/>
        </w:rPr>
      </w:pPr>
    </w:p>
    <w:p w14:paraId="780D0C05" w14:textId="77777777" w:rsidR="00967712" w:rsidRPr="00967712" w:rsidRDefault="00967712" w:rsidP="00967712">
      <w:pPr>
        <w:spacing w:after="0" w:line="480" w:lineRule="auto"/>
        <w:rPr>
          <w:rFonts w:ascii="Times New Roman" w:eastAsia="Times New Roman" w:hAnsi="Times New Roman" w:cs="Times New Roman"/>
          <w:sz w:val="24"/>
          <w:szCs w:val="24"/>
          <w:lang w:val="en-GB"/>
        </w:rPr>
      </w:pPr>
    </w:p>
    <w:p w14:paraId="279324F0" w14:textId="77777777" w:rsidR="00967712" w:rsidRPr="00967712" w:rsidRDefault="00967712" w:rsidP="00967712">
      <w:pPr>
        <w:spacing w:after="0" w:line="480" w:lineRule="auto"/>
        <w:rPr>
          <w:rFonts w:ascii="Times New Roman" w:eastAsia="Times New Roman" w:hAnsi="Times New Roman" w:cs="Times New Roman"/>
          <w:sz w:val="24"/>
          <w:szCs w:val="24"/>
          <w:lang w:val="en-GB"/>
        </w:rPr>
      </w:pPr>
    </w:p>
    <w:p w14:paraId="52FCCE3F" w14:textId="77777777" w:rsidR="00967712" w:rsidRPr="00967712" w:rsidRDefault="00967712" w:rsidP="00967712">
      <w:pPr>
        <w:spacing w:after="0" w:line="480" w:lineRule="auto"/>
        <w:rPr>
          <w:rFonts w:ascii="Times New Roman" w:eastAsia="Times New Roman" w:hAnsi="Times New Roman" w:cs="Times New Roman"/>
          <w:sz w:val="24"/>
          <w:szCs w:val="24"/>
          <w:lang w:val="en-GB"/>
        </w:rPr>
      </w:pPr>
    </w:p>
    <w:p w14:paraId="50D60A36" w14:textId="77777777" w:rsidR="00285D6C" w:rsidRDefault="00285D6C"/>
    <w:sectPr w:rsidR="00285D6C" w:rsidSect="00692166">
      <w:pgSz w:w="15840" w:h="12240" w:orient="landscape"/>
      <w:pgMar w:top="945" w:right="351"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Body)">
    <w:altName w:val="Calibri"/>
    <w:charset w:val="00"/>
    <w:family w:val="roman"/>
    <w:pitch w:val="default"/>
  </w:font>
  <w:font w:name="Times">
    <w:panose1 w:val="02020603050405020304"/>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712"/>
    <w:rsid w:val="00285D6C"/>
    <w:rsid w:val="005852C1"/>
    <w:rsid w:val="009677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A26CC"/>
  <w15:chartTrackingRefBased/>
  <w15:docId w15:val="{FE21FFC4-2C92-430A-A8A9-F587F67B4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967712"/>
    <w:pPr>
      <w:spacing w:after="0" w:line="240" w:lineRule="auto"/>
    </w:pPr>
    <w:rPr>
      <w:rFonts w:ascii="Arial" w:eastAsia="Arial" w:hAnsi="Arial" w:cs="Arial"/>
      <w:sz w:val="20"/>
      <w:szCs w:val="20"/>
      <w:lang w:val="en"/>
    </w:rPr>
  </w:style>
  <w:style w:type="character" w:customStyle="1" w:styleId="CommentTextChar">
    <w:name w:val="Comment Text Char"/>
    <w:basedOn w:val="DefaultParagraphFont"/>
    <w:link w:val="CommentText"/>
    <w:uiPriority w:val="99"/>
    <w:semiHidden/>
    <w:rsid w:val="00967712"/>
    <w:rPr>
      <w:rFonts w:ascii="Arial" w:eastAsia="Arial" w:hAnsi="Arial" w:cs="Arial"/>
      <w:sz w:val="20"/>
      <w:szCs w:val="20"/>
      <w:lang w:val="en"/>
    </w:rPr>
  </w:style>
  <w:style w:type="character" w:styleId="CommentReference">
    <w:name w:val="annotation reference"/>
    <w:basedOn w:val="DefaultParagraphFont"/>
    <w:uiPriority w:val="99"/>
    <w:semiHidden/>
    <w:unhideWhenUsed/>
    <w:rsid w:val="00967712"/>
    <w:rPr>
      <w:sz w:val="16"/>
      <w:szCs w:val="16"/>
    </w:rPr>
  </w:style>
  <w:style w:type="paragraph" w:styleId="BalloonText">
    <w:name w:val="Balloon Text"/>
    <w:basedOn w:val="Normal"/>
    <w:link w:val="BalloonTextChar"/>
    <w:uiPriority w:val="99"/>
    <w:semiHidden/>
    <w:unhideWhenUsed/>
    <w:rsid w:val="009677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771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448</Words>
  <Characters>2555</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T. Brennan</dc:creator>
  <cp:keywords/>
  <dc:description/>
  <cp:lastModifiedBy>Robert T. Brennan</cp:lastModifiedBy>
  <cp:revision>1</cp:revision>
  <dcterms:created xsi:type="dcterms:W3CDTF">2019-08-09T19:08:00Z</dcterms:created>
  <dcterms:modified xsi:type="dcterms:W3CDTF">2019-08-09T19:09:00Z</dcterms:modified>
</cp:coreProperties>
</file>