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4"/>
        </w:rPr>
      </w:pPr>
      <w:r>
        <w:drawing>
          <wp:inline distT="0" distB="0" distL="0" distR="0">
            <wp:extent cx="5274310" cy="48463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4846704"/>
                    </a:xfrm>
                    <a:prstGeom prst="rect">
                      <a:avLst/>
                    </a:prstGeom>
                    <a:noFill/>
                    <a:ln>
                      <a:noFill/>
                    </a:ln>
                  </pic:spPr>
                </pic:pic>
              </a:graphicData>
            </a:graphic>
          </wp:inline>
        </w:drawing>
      </w:r>
    </w:p>
    <w:p>
      <w:pPr>
        <w:spacing w:before="240" w:after="60"/>
        <w:rPr>
          <w:rFonts w:ascii="Arial" w:hAnsi="Arial" w:cs="Arial"/>
          <w:b/>
          <w:bCs/>
          <w:color w:val="000000"/>
          <w:sz w:val="20"/>
          <w:szCs w:val="20"/>
        </w:rPr>
      </w:pPr>
      <w:r>
        <w:rPr>
          <w:rFonts w:ascii="Arial" w:hAnsi="Arial" w:cs="Arial"/>
          <w:b/>
          <w:bCs/>
          <w:color w:val="000000"/>
          <w:sz w:val="20"/>
          <w:szCs w:val="20"/>
        </w:rPr>
        <w:t xml:space="preserve">Figure </w:t>
      </w:r>
      <w:r>
        <w:rPr>
          <w:rFonts w:hint="eastAsia" w:ascii="Arial" w:hAnsi="Arial" w:cs="Arial"/>
          <w:b/>
          <w:bCs/>
          <w:color w:val="000000"/>
          <w:sz w:val="20"/>
          <w:szCs w:val="20"/>
        </w:rPr>
        <w:t>S1</w:t>
      </w:r>
      <w:r>
        <w:rPr>
          <w:rFonts w:ascii="Arial" w:hAnsi="Arial" w:cs="Arial"/>
          <w:b/>
          <w:bCs/>
          <w:color w:val="000000"/>
          <w:sz w:val="20"/>
          <w:szCs w:val="20"/>
        </w:rPr>
        <w:t xml:space="preserve">.  </w:t>
      </w:r>
      <w:r>
        <w:rPr>
          <w:rFonts w:hint="eastAsia" w:ascii="Arial" w:hAnsi="Arial" w:cs="Arial"/>
          <w:b/>
          <w:bCs/>
          <w:color w:val="000000"/>
          <w:sz w:val="20"/>
          <w:szCs w:val="20"/>
        </w:rPr>
        <w:t>F</w:t>
      </w:r>
      <w:r>
        <w:rPr>
          <w:rFonts w:ascii="Arial" w:hAnsi="Arial" w:cs="Arial"/>
          <w:b/>
          <w:bCs/>
          <w:color w:val="000000"/>
          <w:sz w:val="20"/>
          <w:szCs w:val="20"/>
        </w:rPr>
        <w:t xml:space="preserve">unctional connectivity (FC) </w:t>
      </w:r>
      <w:r>
        <w:rPr>
          <w:rFonts w:hint="eastAsia" w:ascii="Arial" w:hAnsi="Arial" w:cs="Arial"/>
          <w:b/>
          <w:bCs/>
          <w:color w:val="000000"/>
          <w:sz w:val="20"/>
          <w:szCs w:val="20"/>
        </w:rPr>
        <w:t>between</w:t>
      </w:r>
      <w:r>
        <w:rPr>
          <w:rFonts w:hint="eastAsia" w:ascii="Arial" w:hAnsi="Arial" w:cs="Arial"/>
          <w:b/>
          <w:bCs/>
          <w:color w:val="000000"/>
          <w:sz w:val="20"/>
          <w:szCs w:val="20"/>
          <w:lang w:eastAsia="zh-CN"/>
        </w:rPr>
        <w:t xml:space="preserve"> non-self-related brain regions</w:t>
      </w:r>
      <w:bookmarkStart w:id="1" w:name="_GoBack"/>
      <w:bookmarkEnd w:id="1"/>
    </w:p>
    <w:p>
      <w:pPr>
        <w:rPr>
          <w:rFonts w:ascii="Arial" w:hAnsi="Arial" w:cs="Arial"/>
          <w:color w:val="000000"/>
          <w:sz w:val="20"/>
          <w:szCs w:val="20"/>
        </w:rPr>
      </w:pPr>
      <w:r>
        <w:rPr>
          <w:rFonts w:ascii="Arial" w:hAnsi="Arial" w:cs="Arial"/>
          <w:color w:val="000000"/>
          <w:sz w:val="20"/>
          <w:szCs w:val="20"/>
        </w:rPr>
        <w:t>(</w:t>
      </w:r>
      <w:r>
        <w:rPr>
          <w:rFonts w:ascii="Arial" w:hAnsi="Arial" w:cs="Arial"/>
          <w:i/>
          <w:iCs/>
          <w:color w:val="000000"/>
          <w:sz w:val="20"/>
          <w:szCs w:val="20"/>
        </w:rPr>
        <w:t>A</w:t>
      </w:r>
      <w:r>
        <w:rPr>
          <w:rFonts w:ascii="Arial" w:hAnsi="Arial" w:cs="Arial"/>
          <w:color w:val="000000"/>
          <w:sz w:val="20"/>
          <w:szCs w:val="20"/>
        </w:rPr>
        <w:t xml:space="preserve">) The matrix diagram of FC represents the FC differences (Fisher z) of the ASD group minus the TDC group </w:t>
      </w:r>
      <w:r>
        <w:rPr>
          <w:rFonts w:hint="eastAsia" w:ascii="Arial" w:hAnsi="Arial" w:cs="Arial"/>
          <w:color w:val="000000"/>
          <w:sz w:val="20"/>
          <w:szCs w:val="20"/>
        </w:rPr>
        <w:t>for</w:t>
      </w:r>
      <w:r>
        <w:rPr>
          <w:rFonts w:ascii="Arial" w:hAnsi="Arial" w:cs="Arial"/>
          <w:color w:val="000000"/>
          <w:sz w:val="20"/>
          <w:szCs w:val="20"/>
        </w:rPr>
        <w:t xml:space="preserve"> 18-24 </w:t>
      </w:r>
      <w:r>
        <w:rPr>
          <w:rFonts w:hint="eastAsia" w:ascii="Arial" w:hAnsi="Arial" w:cs="Arial"/>
          <w:color w:val="000000"/>
          <w:sz w:val="20"/>
          <w:szCs w:val="20"/>
        </w:rPr>
        <w:t>months</w:t>
      </w:r>
      <w:r>
        <w:rPr>
          <w:rFonts w:ascii="Arial" w:hAnsi="Arial" w:cs="Arial"/>
          <w:color w:val="000000"/>
          <w:sz w:val="20"/>
          <w:szCs w:val="20"/>
        </w:rPr>
        <w:t>. (</w:t>
      </w:r>
      <w:r>
        <w:rPr>
          <w:rFonts w:ascii="Arial" w:hAnsi="Arial" w:cs="Arial"/>
          <w:i/>
          <w:iCs/>
          <w:color w:val="000000"/>
          <w:sz w:val="20"/>
          <w:szCs w:val="20"/>
        </w:rPr>
        <w:t>B</w:t>
      </w:r>
      <w:r>
        <w:rPr>
          <w:rFonts w:ascii="Arial" w:hAnsi="Arial" w:cs="Arial"/>
          <w:color w:val="000000"/>
          <w:sz w:val="20"/>
          <w:szCs w:val="20"/>
        </w:rPr>
        <w:t xml:space="preserve">) The FC differences of the ASD group minus the TDC group </w:t>
      </w:r>
      <w:r>
        <w:rPr>
          <w:rFonts w:hint="eastAsia" w:ascii="Arial" w:hAnsi="Arial" w:cs="Arial"/>
          <w:color w:val="000000"/>
          <w:sz w:val="20"/>
          <w:szCs w:val="20"/>
        </w:rPr>
        <w:t>for</w:t>
      </w:r>
      <w:r>
        <w:rPr>
          <w:rFonts w:ascii="Arial" w:hAnsi="Arial" w:cs="Arial"/>
          <w:color w:val="000000"/>
          <w:sz w:val="20"/>
          <w:szCs w:val="20"/>
        </w:rPr>
        <w:t xml:space="preserve"> 25-48 </w:t>
      </w:r>
      <w:r>
        <w:rPr>
          <w:rFonts w:hint="eastAsia" w:ascii="Arial" w:hAnsi="Arial" w:cs="Arial"/>
          <w:color w:val="000000"/>
          <w:sz w:val="20"/>
          <w:szCs w:val="20"/>
        </w:rPr>
        <w:t>months</w:t>
      </w:r>
      <w:r>
        <w:rPr>
          <w:rFonts w:ascii="Arial" w:hAnsi="Arial" w:cs="Arial"/>
          <w:color w:val="000000"/>
          <w:sz w:val="20"/>
          <w:szCs w:val="20"/>
        </w:rPr>
        <w:t>. (C) The FC differences of the</w:t>
      </w:r>
      <w:r>
        <w:rPr>
          <w:rFonts w:hint="eastAsia" w:ascii="Arial" w:hAnsi="Arial" w:cs="Arial"/>
          <w:color w:val="000000"/>
          <w:sz w:val="20"/>
          <w:szCs w:val="20"/>
        </w:rPr>
        <w:t xml:space="preserve"> 2</w:t>
      </w:r>
      <w:r>
        <w:rPr>
          <w:rFonts w:ascii="Arial" w:hAnsi="Arial" w:cs="Arial"/>
          <w:color w:val="000000"/>
          <w:sz w:val="20"/>
          <w:szCs w:val="20"/>
        </w:rPr>
        <w:t xml:space="preserve">5-48 </w:t>
      </w:r>
      <w:r>
        <w:rPr>
          <w:rFonts w:hint="eastAsia" w:ascii="Arial" w:hAnsi="Arial" w:cs="Arial"/>
          <w:color w:val="000000"/>
          <w:sz w:val="20"/>
          <w:szCs w:val="20"/>
        </w:rPr>
        <w:t>months</w:t>
      </w:r>
      <w:r>
        <w:rPr>
          <w:rFonts w:ascii="Arial" w:hAnsi="Arial" w:cs="Arial"/>
          <w:color w:val="000000"/>
          <w:sz w:val="20"/>
          <w:szCs w:val="20"/>
        </w:rPr>
        <w:t xml:space="preserve"> </w:t>
      </w:r>
      <w:r>
        <w:rPr>
          <w:rFonts w:hint="eastAsia" w:ascii="Arial" w:hAnsi="Arial" w:cs="Arial"/>
          <w:color w:val="000000"/>
          <w:sz w:val="20"/>
          <w:szCs w:val="20"/>
        </w:rPr>
        <w:t>group</w:t>
      </w:r>
      <w:r>
        <w:rPr>
          <w:rFonts w:ascii="Arial" w:hAnsi="Arial" w:cs="Arial"/>
          <w:color w:val="000000"/>
          <w:sz w:val="20"/>
          <w:szCs w:val="20"/>
        </w:rPr>
        <w:t xml:space="preserve"> </w:t>
      </w:r>
      <w:r>
        <w:rPr>
          <w:rFonts w:hint="eastAsia" w:ascii="Arial" w:hAnsi="Arial" w:cs="Arial"/>
          <w:color w:val="000000"/>
          <w:sz w:val="20"/>
          <w:szCs w:val="20"/>
        </w:rPr>
        <w:t>minus</w:t>
      </w:r>
      <w:r>
        <w:rPr>
          <w:rFonts w:ascii="Arial" w:hAnsi="Arial" w:cs="Arial"/>
          <w:color w:val="000000"/>
          <w:sz w:val="20"/>
          <w:szCs w:val="20"/>
        </w:rPr>
        <w:t xml:space="preserve"> </w:t>
      </w:r>
      <w:r>
        <w:rPr>
          <w:rFonts w:hint="eastAsia" w:ascii="Arial" w:hAnsi="Arial" w:cs="Arial"/>
          <w:color w:val="000000"/>
          <w:sz w:val="20"/>
          <w:szCs w:val="20"/>
        </w:rPr>
        <w:t>the</w:t>
      </w:r>
      <w:r>
        <w:rPr>
          <w:rFonts w:ascii="Arial" w:hAnsi="Arial" w:cs="Arial"/>
          <w:color w:val="000000"/>
          <w:sz w:val="20"/>
          <w:szCs w:val="20"/>
        </w:rPr>
        <w:t xml:space="preserve"> </w:t>
      </w:r>
      <w:r>
        <w:rPr>
          <w:rFonts w:hint="eastAsia" w:ascii="Arial" w:hAnsi="Arial" w:cs="Arial"/>
          <w:color w:val="000000"/>
          <w:sz w:val="20"/>
          <w:szCs w:val="20"/>
        </w:rPr>
        <w:t>1</w:t>
      </w:r>
      <w:r>
        <w:rPr>
          <w:rFonts w:ascii="Arial" w:hAnsi="Arial" w:cs="Arial"/>
          <w:color w:val="000000"/>
          <w:sz w:val="20"/>
          <w:szCs w:val="20"/>
        </w:rPr>
        <w:t xml:space="preserve">8-24 </w:t>
      </w:r>
      <w:r>
        <w:rPr>
          <w:rFonts w:hint="eastAsia" w:ascii="Arial" w:hAnsi="Arial" w:cs="Arial"/>
          <w:color w:val="000000"/>
          <w:sz w:val="20"/>
          <w:szCs w:val="20"/>
        </w:rPr>
        <w:t>months</w:t>
      </w:r>
      <w:r>
        <w:rPr>
          <w:rFonts w:ascii="Arial" w:hAnsi="Arial" w:cs="Arial"/>
          <w:color w:val="000000"/>
          <w:sz w:val="20"/>
          <w:szCs w:val="20"/>
        </w:rPr>
        <w:t xml:space="preserve"> </w:t>
      </w:r>
      <w:r>
        <w:rPr>
          <w:rFonts w:hint="eastAsia" w:ascii="Arial" w:hAnsi="Arial" w:cs="Arial"/>
          <w:color w:val="000000"/>
          <w:sz w:val="20"/>
          <w:szCs w:val="20"/>
        </w:rPr>
        <w:t>group</w:t>
      </w:r>
      <w:r>
        <w:rPr>
          <w:rFonts w:ascii="Arial" w:hAnsi="Arial" w:cs="Arial"/>
          <w:color w:val="000000"/>
          <w:sz w:val="20"/>
          <w:szCs w:val="20"/>
        </w:rPr>
        <w:t xml:space="preserve"> </w:t>
      </w:r>
      <w:r>
        <w:rPr>
          <w:rFonts w:hint="eastAsia" w:ascii="Arial" w:hAnsi="Arial" w:cs="Arial"/>
          <w:color w:val="000000"/>
          <w:sz w:val="20"/>
          <w:szCs w:val="20"/>
        </w:rPr>
        <w:t>for</w:t>
      </w:r>
      <w:r>
        <w:rPr>
          <w:rFonts w:ascii="Arial" w:hAnsi="Arial" w:cs="Arial"/>
          <w:color w:val="000000"/>
          <w:sz w:val="20"/>
          <w:szCs w:val="20"/>
        </w:rPr>
        <w:t xml:space="preserve"> ASD. (D) The FC differences of the</w:t>
      </w:r>
      <w:r>
        <w:rPr>
          <w:rFonts w:hint="eastAsia" w:ascii="Arial" w:hAnsi="Arial" w:cs="Arial"/>
          <w:color w:val="000000"/>
          <w:sz w:val="20"/>
          <w:szCs w:val="20"/>
        </w:rPr>
        <w:t xml:space="preserve"> 2</w:t>
      </w:r>
      <w:r>
        <w:rPr>
          <w:rFonts w:ascii="Arial" w:hAnsi="Arial" w:cs="Arial"/>
          <w:color w:val="000000"/>
          <w:sz w:val="20"/>
          <w:szCs w:val="20"/>
        </w:rPr>
        <w:t xml:space="preserve">5-48 </w:t>
      </w:r>
      <w:r>
        <w:rPr>
          <w:rFonts w:hint="eastAsia" w:ascii="Arial" w:hAnsi="Arial" w:cs="Arial"/>
          <w:color w:val="000000"/>
          <w:sz w:val="20"/>
          <w:szCs w:val="20"/>
        </w:rPr>
        <w:t>months</w:t>
      </w:r>
      <w:r>
        <w:rPr>
          <w:rFonts w:ascii="Arial" w:hAnsi="Arial" w:cs="Arial"/>
          <w:color w:val="000000"/>
          <w:sz w:val="20"/>
          <w:szCs w:val="20"/>
        </w:rPr>
        <w:t xml:space="preserve"> </w:t>
      </w:r>
      <w:r>
        <w:rPr>
          <w:rFonts w:hint="eastAsia" w:ascii="Arial" w:hAnsi="Arial" w:cs="Arial"/>
          <w:color w:val="000000"/>
          <w:sz w:val="20"/>
          <w:szCs w:val="20"/>
        </w:rPr>
        <w:t>group</w:t>
      </w:r>
      <w:r>
        <w:rPr>
          <w:rFonts w:ascii="Arial" w:hAnsi="Arial" w:cs="Arial"/>
          <w:color w:val="000000"/>
          <w:sz w:val="20"/>
          <w:szCs w:val="20"/>
        </w:rPr>
        <w:t xml:space="preserve"> </w:t>
      </w:r>
      <w:r>
        <w:rPr>
          <w:rFonts w:hint="eastAsia" w:ascii="Arial" w:hAnsi="Arial" w:cs="Arial"/>
          <w:color w:val="000000"/>
          <w:sz w:val="20"/>
          <w:szCs w:val="20"/>
        </w:rPr>
        <w:t>minus</w:t>
      </w:r>
      <w:r>
        <w:rPr>
          <w:rFonts w:ascii="Arial" w:hAnsi="Arial" w:cs="Arial"/>
          <w:color w:val="000000"/>
          <w:sz w:val="20"/>
          <w:szCs w:val="20"/>
        </w:rPr>
        <w:t xml:space="preserve"> </w:t>
      </w:r>
      <w:r>
        <w:rPr>
          <w:rFonts w:hint="eastAsia" w:ascii="Arial" w:hAnsi="Arial" w:cs="Arial"/>
          <w:color w:val="000000"/>
          <w:sz w:val="20"/>
          <w:szCs w:val="20"/>
        </w:rPr>
        <w:t>the</w:t>
      </w:r>
      <w:r>
        <w:rPr>
          <w:rFonts w:ascii="Arial" w:hAnsi="Arial" w:cs="Arial"/>
          <w:color w:val="000000"/>
          <w:sz w:val="20"/>
          <w:szCs w:val="20"/>
        </w:rPr>
        <w:t xml:space="preserve"> </w:t>
      </w:r>
      <w:r>
        <w:rPr>
          <w:rFonts w:hint="eastAsia" w:ascii="Arial" w:hAnsi="Arial" w:cs="Arial"/>
          <w:color w:val="000000"/>
          <w:sz w:val="20"/>
          <w:szCs w:val="20"/>
        </w:rPr>
        <w:t>1</w:t>
      </w:r>
      <w:r>
        <w:rPr>
          <w:rFonts w:ascii="Arial" w:hAnsi="Arial" w:cs="Arial"/>
          <w:color w:val="000000"/>
          <w:sz w:val="20"/>
          <w:szCs w:val="20"/>
        </w:rPr>
        <w:t xml:space="preserve">8-24 </w:t>
      </w:r>
      <w:r>
        <w:rPr>
          <w:rFonts w:hint="eastAsia" w:ascii="Arial" w:hAnsi="Arial" w:cs="Arial"/>
          <w:color w:val="000000"/>
          <w:sz w:val="20"/>
          <w:szCs w:val="20"/>
        </w:rPr>
        <w:t>months</w:t>
      </w:r>
      <w:r>
        <w:rPr>
          <w:rFonts w:ascii="Arial" w:hAnsi="Arial" w:cs="Arial"/>
          <w:color w:val="000000"/>
          <w:sz w:val="20"/>
          <w:szCs w:val="20"/>
        </w:rPr>
        <w:t xml:space="preserve"> </w:t>
      </w:r>
      <w:r>
        <w:rPr>
          <w:rFonts w:hint="eastAsia" w:ascii="Arial" w:hAnsi="Arial" w:cs="Arial"/>
          <w:color w:val="000000"/>
          <w:sz w:val="20"/>
          <w:szCs w:val="20"/>
        </w:rPr>
        <w:t>group</w:t>
      </w:r>
      <w:r>
        <w:rPr>
          <w:rFonts w:ascii="Arial" w:hAnsi="Arial" w:cs="Arial"/>
          <w:color w:val="000000"/>
          <w:sz w:val="20"/>
          <w:szCs w:val="20"/>
        </w:rPr>
        <w:t xml:space="preserve"> </w:t>
      </w:r>
      <w:r>
        <w:rPr>
          <w:rFonts w:hint="eastAsia" w:ascii="Arial" w:hAnsi="Arial" w:cs="Arial"/>
          <w:color w:val="000000"/>
          <w:sz w:val="20"/>
          <w:szCs w:val="20"/>
        </w:rPr>
        <w:t>for</w:t>
      </w:r>
      <w:r>
        <w:rPr>
          <w:rFonts w:ascii="Arial" w:hAnsi="Arial" w:cs="Arial"/>
          <w:color w:val="000000"/>
          <w:sz w:val="20"/>
          <w:szCs w:val="20"/>
        </w:rPr>
        <w:t xml:space="preserve"> TDC. The FC maps indicate Fisher z values ranging from -0.4 to 0.4 (blue to orange). Adjacent to the matrix diagram, on the right, is the connectivity map of brain regions. The red line indicated an increase in ASD compared to TDC (A, B), and the blue line represents a decrease in the 25-48 months group compared the 18-24 months group (C, D). </w:t>
      </w:r>
      <w:r>
        <w:rPr>
          <w:rFonts w:hint="eastAsia" w:ascii="Arial" w:hAnsi="Arial" w:cs="Arial"/>
          <w:color w:val="000000"/>
          <w:sz w:val="20"/>
          <w:szCs w:val="20"/>
        </w:rPr>
        <w:t>*：p&lt;0.05(FDR corrected)</w:t>
      </w:r>
      <w:r>
        <w:rPr>
          <w:rFonts w:ascii="Arial" w:hAnsi="Arial" w:cs="Arial"/>
          <w:color w:val="000000"/>
          <w:sz w:val="20"/>
          <w:szCs w:val="20"/>
        </w:rPr>
        <w:t>.</w:t>
      </w:r>
    </w:p>
    <w:p>
      <w:pPr>
        <w:spacing w:before="240" w:after="60"/>
        <w:rPr>
          <w:rFonts w:ascii="Arial" w:hAnsi="Arial" w:cs="Arial"/>
          <w:color w:val="000000"/>
          <w:sz w:val="20"/>
          <w:szCs w:val="20"/>
        </w:rPr>
      </w:pPr>
    </w:p>
    <w:p>
      <w:pPr>
        <w:jc w:val="left"/>
        <w:rPr>
          <w:rFonts w:ascii="Arial" w:hAnsi="Arial" w:cs="Arial"/>
          <w:b/>
          <w:bCs/>
          <w:color w:val="000000"/>
          <w:sz w:val="20"/>
          <w:szCs w:val="20"/>
        </w:rPr>
      </w:pPr>
    </w:p>
    <w:p>
      <w:pPr>
        <w:jc w:val="left"/>
        <w:rPr>
          <w:rFonts w:ascii="Arial" w:hAnsi="Arial" w:cs="Arial"/>
          <w:b/>
          <w:bCs/>
          <w:color w:val="000000"/>
          <w:sz w:val="20"/>
          <w:szCs w:val="20"/>
        </w:rPr>
      </w:pPr>
      <w:r>
        <w:drawing>
          <wp:inline distT="0" distB="0" distL="0" distR="0">
            <wp:extent cx="5274310" cy="589724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5897777"/>
                    </a:xfrm>
                    <a:prstGeom prst="rect">
                      <a:avLst/>
                    </a:prstGeom>
                    <a:noFill/>
                    <a:ln>
                      <a:noFill/>
                    </a:ln>
                  </pic:spPr>
                </pic:pic>
              </a:graphicData>
            </a:graphic>
          </wp:inline>
        </w:drawing>
      </w:r>
    </w:p>
    <w:p>
      <w:pPr>
        <w:spacing w:before="240" w:after="60"/>
        <w:rPr>
          <w:rFonts w:ascii="Arial" w:hAnsi="Arial" w:cs="Arial"/>
          <w:b/>
          <w:bCs/>
          <w:color w:val="000000"/>
          <w:sz w:val="20"/>
          <w:szCs w:val="20"/>
        </w:rPr>
      </w:pPr>
      <w:r>
        <w:rPr>
          <w:rFonts w:ascii="Arial" w:hAnsi="Arial" w:cs="Arial"/>
          <w:b/>
          <w:bCs/>
          <w:color w:val="000000"/>
          <w:sz w:val="20"/>
          <w:szCs w:val="20"/>
        </w:rPr>
        <w:t xml:space="preserve">Figure </w:t>
      </w:r>
      <w:r>
        <w:rPr>
          <w:rFonts w:hint="eastAsia" w:ascii="Arial" w:hAnsi="Arial" w:cs="Arial"/>
          <w:b/>
          <w:bCs/>
          <w:color w:val="000000"/>
          <w:sz w:val="20"/>
          <w:szCs w:val="20"/>
        </w:rPr>
        <w:t>S</w:t>
      </w:r>
      <w:r>
        <w:rPr>
          <w:rFonts w:ascii="Arial" w:hAnsi="Arial" w:cs="Arial"/>
          <w:b/>
          <w:bCs/>
          <w:color w:val="000000"/>
          <w:sz w:val="20"/>
          <w:szCs w:val="20"/>
        </w:rPr>
        <w:t>2.  The SVM model discriminates ASD and TDC at two ages</w:t>
      </w:r>
    </w:p>
    <w:p>
      <w:pPr>
        <w:spacing w:before="240" w:after="60"/>
        <w:rPr>
          <w:rFonts w:ascii="Arial" w:hAnsi="Arial" w:cs="Arial"/>
          <w:color w:val="000000"/>
          <w:sz w:val="20"/>
          <w:szCs w:val="20"/>
        </w:rPr>
      </w:pPr>
      <w:r>
        <w:rPr>
          <w:rFonts w:ascii="Arial" w:hAnsi="Arial" w:cs="Arial"/>
          <w:color w:val="000000"/>
          <w:sz w:val="20"/>
          <w:szCs w:val="20"/>
        </w:rPr>
        <w:t>(</w:t>
      </w:r>
      <w:r>
        <w:rPr>
          <w:rFonts w:ascii="Arial" w:hAnsi="Arial" w:cs="Arial"/>
          <w:iCs/>
          <w:color w:val="000000"/>
          <w:sz w:val="20"/>
          <w:szCs w:val="20"/>
        </w:rPr>
        <w:t>A</w:t>
      </w:r>
      <w:r>
        <w:rPr>
          <w:rFonts w:ascii="Arial" w:hAnsi="Arial" w:cs="Arial"/>
          <w:color w:val="000000"/>
          <w:sz w:val="20"/>
          <w:szCs w:val="20"/>
        </w:rPr>
        <w:t xml:space="preserve">) The SVM model which elected </w:t>
      </w:r>
      <w:r>
        <w:rPr>
          <w:rFonts w:hint="eastAsia" w:ascii="Arial" w:hAnsi="Arial" w:cs="Arial"/>
          <w:color w:val="000000"/>
          <w:sz w:val="20"/>
          <w:szCs w:val="20"/>
        </w:rPr>
        <w:t>important</w:t>
      </w:r>
      <w:r>
        <w:rPr>
          <w:rFonts w:ascii="Arial" w:hAnsi="Arial" w:cs="Arial"/>
          <w:color w:val="000000"/>
          <w:sz w:val="20"/>
          <w:szCs w:val="20"/>
        </w:rPr>
        <w:t xml:space="preserve"> functional </w:t>
      </w:r>
      <w:r>
        <w:rPr>
          <w:rFonts w:hint="eastAsia" w:ascii="Arial" w:hAnsi="Arial" w:cs="Arial"/>
          <w:color w:val="000000"/>
          <w:sz w:val="20"/>
          <w:szCs w:val="20"/>
        </w:rPr>
        <w:t>brain</w:t>
      </w:r>
      <w:r>
        <w:rPr>
          <w:rFonts w:ascii="Arial" w:hAnsi="Arial" w:cs="Arial"/>
          <w:color w:val="000000"/>
          <w:sz w:val="20"/>
          <w:szCs w:val="20"/>
        </w:rPr>
        <w:t xml:space="preserve"> </w:t>
      </w:r>
      <w:r>
        <w:rPr>
          <w:rFonts w:hint="eastAsia" w:ascii="Arial" w:hAnsi="Arial" w:cs="Arial"/>
          <w:color w:val="000000"/>
          <w:sz w:val="20"/>
          <w:szCs w:val="20"/>
        </w:rPr>
        <w:t>regions</w:t>
      </w:r>
      <w:r>
        <w:rPr>
          <w:rFonts w:ascii="Arial" w:hAnsi="Arial" w:cs="Arial"/>
          <w:color w:val="000000"/>
          <w:sz w:val="20"/>
          <w:szCs w:val="20"/>
        </w:rPr>
        <w:t xml:space="preserve"> as features (B) The SVM model </w:t>
      </w:r>
      <w:r>
        <w:rPr>
          <w:rFonts w:hint="eastAsia" w:ascii="Arial" w:hAnsi="Arial" w:cs="Arial"/>
          <w:color w:val="000000"/>
          <w:sz w:val="20"/>
          <w:szCs w:val="20"/>
        </w:rPr>
        <w:t>for</w:t>
      </w:r>
      <w:r>
        <w:rPr>
          <w:rFonts w:ascii="Arial" w:hAnsi="Arial" w:cs="Arial"/>
          <w:color w:val="000000"/>
          <w:sz w:val="20"/>
          <w:szCs w:val="20"/>
        </w:rPr>
        <w:t xml:space="preserve"> testing </w:t>
      </w:r>
      <w:r>
        <w:rPr>
          <w:rFonts w:hint="eastAsia" w:ascii="Arial" w:hAnsi="Arial" w:cs="Arial"/>
          <w:color w:val="000000"/>
          <w:sz w:val="20"/>
          <w:szCs w:val="20"/>
        </w:rPr>
        <w:t>dataset</w:t>
      </w:r>
      <w:r>
        <w:rPr>
          <w:rFonts w:ascii="Arial" w:hAnsi="Arial" w:cs="Arial"/>
          <w:color w:val="000000"/>
          <w:sz w:val="20"/>
          <w:szCs w:val="20"/>
        </w:rPr>
        <w:t xml:space="preserve"> (18-24 months). (C)</w:t>
      </w:r>
      <w:r>
        <w:rPr>
          <w:rFonts w:hint="eastAsia" w:ascii="Arial" w:hAnsi="Arial" w:cs="Arial"/>
          <w:color w:val="000000"/>
          <w:sz w:val="20"/>
          <w:szCs w:val="20"/>
        </w:rPr>
        <w:t xml:space="preserve"> </w:t>
      </w:r>
      <w:r>
        <w:rPr>
          <w:rFonts w:ascii="Arial" w:hAnsi="Arial" w:cs="Arial"/>
          <w:color w:val="000000"/>
          <w:sz w:val="20"/>
          <w:szCs w:val="20"/>
        </w:rPr>
        <w:t xml:space="preserve">The SVM model </w:t>
      </w:r>
      <w:r>
        <w:rPr>
          <w:rFonts w:hint="eastAsia" w:ascii="Arial" w:hAnsi="Arial" w:cs="Arial"/>
          <w:color w:val="000000"/>
          <w:sz w:val="20"/>
          <w:szCs w:val="20"/>
        </w:rPr>
        <w:t>for</w:t>
      </w:r>
      <w:r>
        <w:rPr>
          <w:rFonts w:ascii="Arial" w:hAnsi="Arial" w:cs="Arial"/>
          <w:color w:val="000000"/>
          <w:sz w:val="20"/>
          <w:szCs w:val="20"/>
        </w:rPr>
        <w:t xml:space="preserve"> </w:t>
      </w:r>
      <w:r>
        <w:rPr>
          <w:rFonts w:hint="eastAsia" w:ascii="Arial" w:hAnsi="Arial" w:cs="Arial"/>
          <w:color w:val="000000"/>
          <w:sz w:val="20"/>
          <w:szCs w:val="20"/>
        </w:rPr>
        <w:t>training</w:t>
      </w:r>
      <w:r>
        <w:rPr>
          <w:rFonts w:ascii="Arial" w:hAnsi="Arial" w:cs="Arial"/>
          <w:color w:val="000000"/>
          <w:sz w:val="20"/>
          <w:szCs w:val="20"/>
        </w:rPr>
        <w:t xml:space="preserve"> </w:t>
      </w:r>
      <w:r>
        <w:rPr>
          <w:rFonts w:hint="eastAsia" w:ascii="Arial" w:hAnsi="Arial" w:cs="Arial"/>
          <w:color w:val="000000"/>
          <w:sz w:val="20"/>
          <w:szCs w:val="20"/>
        </w:rPr>
        <w:t>dataset</w:t>
      </w:r>
      <w:r>
        <w:rPr>
          <w:rFonts w:ascii="Arial" w:hAnsi="Arial" w:cs="Arial"/>
          <w:color w:val="000000"/>
          <w:sz w:val="20"/>
          <w:szCs w:val="20"/>
        </w:rPr>
        <w:t xml:space="preserve"> (25-48 months). (D) The SVM model </w:t>
      </w:r>
      <w:r>
        <w:rPr>
          <w:rFonts w:hint="eastAsia" w:ascii="Arial" w:hAnsi="Arial" w:cs="Arial"/>
          <w:color w:val="000000"/>
          <w:sz w:val="20"/>
          <w:szCs w:val="20"/>
        </w:rPr>
        <w:t>for</w:t>
      </w:r>
      <w:r>
        <w:rPr>
          <w:rFonts w:ascii="Arial" w:hAnsi="Arial" w:cs="Arial"/>
          <w:color w:val="000000"/>
          <w:sz w:val="20"/>
          <w:szCs w:val="20"/>
        </w:rPr>
        <w:t xml:space="preserve"> testing </w:t>
      </w:r>
      <w:r>
        <w:rPr>
          <w:rFonts w:hint="eastAsia" w:ascii="Arial" w:hAnsi="Arial" w:cs="Arial"/>
          <w:color w:val="000000"/>
          <w:sz w:val="20"/>
          <w:szCs w:val="20"/>
        </w:rPr>
        <w:t>dataset</w:t>
      </w:r>
      <w:r>
        <w:rPr>
          <w:rFonts w:ascii="Arial" w:hAnsi="Arial" w:cs="Arial"/>
          <w:color w:val="000000"/>
          <w:sz w:val="20"/>
          <w:szCs w:val="20"/>
        </w:rPr>
        <w:t xml:space="preserve"> (25-48 months) </w:t>
      </w:r>
      <w:bookmarkStart w:id="0" w:name="_Hlk162692365"/>
      <w:r>
        <w:rPr>
          <w:rFonts w:ascii="Arial" w:hAnsi="Arial" w:cs="Arial"/>
          <w:color w:val="000000"/>
          <w:sz w:val="20"/>
          <w:szCs w:val="20"/>
        </w:rPr>
        <w:t>T</w:t>
      </w:r>
      <w:r>
        <w:rPr>
          <w:rFonts w:hint="eastAsia" w:ascii="Arial" w:hAnsi="Arial" w:cs="Arial"/>
          <w:color w:val="000000"/>
          <w:sz w:val="20"/>
          <w:szCs w:val="20"/>
        </w:rPr>
        <w:t>he</w:t>
      </w:r>
      <w:r>
        <w:rPr>
          <w:rFonts w:ascii="Arial" w:hAnsi="Arial" w:cs="Arial"/>
          <w:color w:val="000000"/>
          <w:sz w:val="20"/>
          <w:szCs w:val="20"/>
        </w:rPr>
        <w:t xml:space="preserve"> ROC </w:t>
      </w:r>
      <w:r>
        <w:rPr>
          <w:rFonts w:hint="eastAsia" w:ascii="Arial" w:hAnsi="Arial" w:cs="Arial"/>
          <w:color w:val="000000"/>
          <w:sz w:val="20"/>
          <w:szCs w:val="20"/>
        </w:rPr>
        <w:t>curves</w:t>
      </w:r>
      <w:r>
        <w:rPr>
          <w:rFonts w:ascii="Arial" w:hAnsi="Arial" w:cs="Arial"/>
          <w:color w:val="000000"/>
          <w:sz w:val="20"/>
          <w:szCs w:val="20"/>
        </w:rPr>
        <w:t xml:space="preserve"> directly reflected the classification performance of SVM model</w:t>
      </w:r>
      <w:r>
        <w:rPr>
          <w:rFonts w:hint="eastAsia" w:ascii="Arial" w:hAnsi="Arial" w:cs="Arial"/>
          <w:color w:val="000000"/>
          <w:sz w:val="20"/>
          <w:szCs w:val="20"/>
        </w:rPr>
        <w:t>.</w:t>
      </w:r>
      <w:r>
        <w:rPr>
          <w:rFonts w:ascii="Arial" w:hAnsi="Arial" w:cs="Arial"/>
          <w:color w:val="000000"/>
          <w:sz w:val="20"/>
          <w:szCs w:val="20"/>
        </w:rPr>
        <w:t xml:space="preserve"> </w:t>
      </w:r>
      <w:bookmarkEnd w:id="0"/>
      <w:r>
        <w:rPr>
          <w:rFonts w:ascii="Arial" w:hAnsi="Arial" w:cs="Arial"/>
          <w:color w:val="000000"/>
          <w:sz w:val="20"/>
          <w:szCs w:val="20"/>
        </w:rPr>
        <w:t>The confusion matrix represents the sensitivity and specificity of the SVM model respectively. On the right side of the confusion matrix is the classification of the SVM model. The red point represents ASD data, and the blue point represents TDC data. Points on the left of the decision plane are identified as ASD by the SVM model, and those on the right are identified as TDC. The testing data is independent data with the same collection and processing. ROC: receiver operating characteristic; AUC: area under curve</w:t>
      </w:r>
      <w:r>
        <w:rPr>
          <w:rFonts w:hint="eastAsia" w:ascii="Arial" w:hAnsi="Arial" w:cs="Arial"/>
          <w:color w:val="000000"/>
          <w:sz w:val="20"/>
          <w:szCs w:val="20"/>
        </w:rPr>
        <w:t>.</w:t>
      </w:r>
    </w:p>
    <w:p>
      <w:pPr>
        <w:spacing w:before="240" w:after="60"/>
        <w:rPr>
          <w:rFonts w:ascii="Arial" w:hAnsi="Arial" w:cs="Arial"/>
          <w:b/>
          <w:bCs/>
          <w:color w:val="000000"/>
          <w:sz w:val="20"/>
          <w:szCs w:val="20"/>
        </w:rPr>
      </w:pPr>
    </w:p>
    <w:p>
      <w:pPr>
        <w:jc w:val="left"/>
        <w:rPr>
          <w:rFonts w:ascii="Arial" w:hAnsi="Arial" w:cs="Arial"/>
          <w:b/>
          <w:bCs/>
          <w:color w:val="000000"/>
          <w:sz w:val="20"/>
          <w:szCs w:val="20"/>
        </w:rPr>
      </w:pPr>
      <w:r>
        <w:rPr>
          <w:rFonts w:hint="eastAsia" w:ascii="Arial" w:hAnsi="Arial" w:cs="Arial"/>
          <w:b/>
          <w:bCs/>
          <w:color w:val="000000"/>
          <w:sz w:val="20"/>
          <w:szCs w:val="20"/>
        </w:rPr>
        <w:t>Table S1</w:t>
      </w:r>
      <w:r>
        <w:rPr>
          <w:rFonts w:ascii="Arial" w:hAnsi="Arial" w:cs="Arial"/>
          <w:b/>
          <w:bCs/>
          <w:color w:val="000000"/>
          <w:sz w:val="20"/>
          <w:szCs w:val="20"/>
        </w:rPr>
        <w:t>.</w:t>
      </w:r>
      <w:r>
        <w:rPr>
          <w:rFonts w:hint="eastAsia" w:ascii="Arial" w:hAnsi="Arial" w:cs="Arial"/>
          <w:b/>
          <w:bCs/>
          <w:color w:val="000000"/>
          <w:sz w:val="20"/>
          <w:szCs w:val="20"/>
        </w:rPr>
        <w:t xml:space="preserve"> Abnormal f</w:t>
      </w:r>
      <w:r>
        <w:rPr>
          <w:rFonts w:ascii="Arial" w:hAnsi="Arial" w:cs="Arial"/>
          <w:b/>
          <w:bCs/>
          <w:color w:val="000000"/>
          <w:sz w:val="20"/>
          <w:szCs w:val="20"/>
        </w:rPr>
        <w:t xml:space="preserve">unctional </w:t>
      </w:r>
      <w:r>
        <w:rPr>
          <w:rFonts w:hint="eastAsia" w:ascii="Arial" w:hAnsi="Arial" w:cs="Arial"/>
          <w:b/>
          <w:bCs/>
          <w:color w:val="000000"/>
          <w:sz w:val="20"/>
          <w:szCs w:val="20"/>
        </w:rPr>
        <w:t>c</w:t>
      </w:r>
      <w:r>
        <w:rPr>
          <w:rFonts w:ascii="Arial" w:hAnsi="Arial" w:cs="Arial"/>
          <w:b/>
          <w:bCs/>
          <w:color w:val="000000"/>
          <w:sz w:val="20"/>
          <w:szCs w:val="20"/>
        </w:rPr>
        <w:t>onnectivity of self-network</w:t>
      </w:r>
      <w:r>
        <w:rPr>
          <w:rFonts w:hint="eastAsia" w:ascii="Arial" w:hAnsi="Arial" w:cs="Arial"/>
          <w:b/>
          <w:bCs/>
          <w:color w:val="000000"/>
          <w:sz w:val="20"/>
          <w:szCs w:val="20"/>
        </w:rPr>
        <w:t>s in ASD</w:t>
      </w:r>
    </w:p>
    <w:tbl>
      <w:tblPr>
        <w:tblStyle w:val="4"/>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6"/>
        <w:gridCol w:w="3250"/>
        <w:gridCol w:w="245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tcBorders>
              <w:top w:val="single" w:color="auto" w:sz="12" w:space="0"/>
              <w:left w:val="nil"/>
              <w:bottom w:val="single" w:color="auto" w:sz="6" w:space="0"/>
              <w:right w:val="nil"/>
            </w:tcBorders>
            <w:shd w:val="clear" w:color="auto" w:fill="auto"/>
          </w:tcPr>
          <w:p>
            <w:pPr>
              <w:jc w:val="center"/>
              <w:rPr>
                <w:rFonts w:ascii="Arial" w:hAnsi="Arial" w:cs="Arial"/>
                <w:b/>
                <w:sz w:val="20"/>
                <w:szCs w:val="20"/>
              </w:rPr>
            </w:pPr>
            <w:r>
              <w:rPr>
                <w:rFonts w:ascii="Arial" w:hAnsi="Arial" w:cs="Arial"/>
                <w:b/>
                <w:sz w:val="20"/>
                <w:szCs w:val="20"/>
              </w:rPr>
              <w:t>Brain regions</w:t>
            </w:r>
          </w:p>
        </w:tc>
        <w:tc>
          <w:tcPr>
            <w:tcW w:w="5700" w:type="dxa"/>
            <w:gridSpan w:val="2"/>
            <w:tcBorders>
              <w:top w:val="single" w:color="auto" w:sz="12" w:space="0"/>
              <w:bottom w:val="single" w:color="auto" w:sz="6" w:space="0"/>
              <w:right w:val="nil"/>
            </w:tcBorders>
            <w:shd w:val="clear" w:color="auto" w:fill="auto"/>
          </w:tcPr>
          <w:p>
            <w:pPr>
              <w:jc w:val="center"/>
              <w:rPr>
                <w:rFonts w:ascii="Arial" w:hAnsi="Arial" w:cs="Arial"/>
                <w:b/>
                <w:sz w:val="20"/>
                <w:szCs w:val="20"/>
              </w:rPr>
            </w:pPr>
            <w:r>
              <w:rPr>
                <w:rFonts w:ascii="Arial" w:hAnsi="Arial" w:cs="Arial"/>
                <w:b/>
                <w:sz w:val="20"/>
                <w:szCs w:val="20"/>
              </w:rPr>
              <w:t>Functional connectivity</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left"/>
              <w:rPr>
                <w:rFonts w:ascii="Arial" w:hAnsi="Arial" w:cs="Arial"/>
                <w:b/>
                <w:bCs/>
                <w:sz w:val="20"/>
                <w:szCs w:val="20"/>
              </w:rPr>
            </w:pPr>
            <w:r>
              <w:rPr>
                <w:rFonts w:ascii="Arial" w:hAnsi="Arial" w:cs="Arial"/>
                <w:b/>
                <w:bCs/>
                <w:sz w:val="20"/>
                <w:szCs w:val="20"/>
              </w:rPr>
              <w:t>18-24 Months</w:t>
            </w:r>
          </w:p>
        </w:tc>
        <w:tc>
          <w:tcPr>
            <w:tcW w:w="3250" w:type="dxa"/>
            <w:shd w:val="clear" w:color="auto" w:fill="auto"/>
          </w:tcPr>
          <w:p>
            <w:pPr>
              <w:jc w:val="center"/>
              <w:rPr>
                <w:rFonts w:ascii="Arial" w:hAnsi="Arial" w:cs="Arial"/>
                <w:sz w:val="20"/>
                <w:szCs w:val="20"/>
              </w:rPr>
            </w:pPr>
            <w:r>
              <w:rPr>
                <w:rFonts w:ascii="Arial" w:hAnsi="Arial" w:cs="Arial"/>
                <w:b/>
                <w:sz w:val="20"/>
                <w:szCs w:val="20"/>
              </w:rPr>
              <w:t>ASD &gt; TDC</w:t>
            </w:r>
          </w:p>
        </w:tc>
        <w:tc>
          <w:tcPr>
            <w:tcW w:w="2450" w:type="dxa"/>
            <w:shd w:val="clear" w:color="auto" w:fill="auto"/>
          </w:tcPr>
          <w:p>
            <w:pPr>
              <w:jc w:val="center"/>
              <w:rPr>
                <w:rFonts w:ascii="Arial" w:hAnsi="Arial" w:cs="Arial"/>
                <w:sz w:val="20"/>
                <w:szCs w:val="20"/>
              </w:rPr>
            </w:pPr>
            <w:r>
              <w:rPr>
                <w:rFonts w:ascii="Arial" w:hAnsi="Arial" w:cs="Arial"/>
                <w:b/>
                <w:sz w:val="20"/>
                <w:szCs w:val="20"/>
              </w:rPr>
              <w:t>ASD &lt; TDC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left"/>
              <w:rPr>
                <w:rFonts w:ascii="Arial" w:hAnsi="Arial" w:cs="Arial"/>
                <w:sz w:val="20"/>
                <w:szCs w:val="20"/>
              </w:rPr>
            </w:pPr>
            <w:r>
              <w:rPr>
                <w:rFonts w:ascii="Arial" w:hAnsi="Arial" w:cs="Arial"/>
                <w:sz w:val="20"/>
                <w:szCs w:val="20"/>
              </w:rPr>
              <w:t>Exteroceptive-self</w:t>
            </w:r>
          </w:p>
        </w:tc>
        <w:tc>
          <w:tcPr>
            <w:tcW w:w="3250" w:type="dxa"/>
            <w:shd w:val="clear" w:color="auto" w:fill="auto"/>
          </w:tcPr>
          <w:p>
            <w:pPr>
              <w:jc w:val="center"/>
              <w:rPr>
                <w:rFonts w:ascii="Arial" w:hAnsi="Arial" w:cs="Arial"/>
                <w:sz w:val="20"/>
                <w:szCs w:val="20"/>
              </w:rPr>
            </w:pPr>
          </w:p>
        </w:tc>
        <w:tc>
          <w:tcPr>
            <w:tcW w:w="2450" w:type="dxa"/>
            <w:shd w:val="clear" w:color="auto" w:fill="auto"/>
          </w:tcPr>
          <w:p>
            <w:pPr>
              <w:jc w:val="center"/>
              <w:rPr>
                <w:rFonts w:ascii="Arial" w:hAnsi="Arial" w:cs="Arial"/>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center"/>
              <w:rPr>
                <w:rFonts w:ascii="Arial" w:hAnsi="Arial" w:cs="Arial"/>
                <w:sz w:val="20"/>
                <w:szCs w:val="20"/>
              </w:rPr>
            </w:pPr>
            <w:r>
              <w:rPr>
                <w:rFonts w:ascii="Arial" w:hAnsi="Arial" w:cs="Arial"/>
                <w:sz w:val="20"/>
                <w:szCs w:val="20"/>
              </w:rPr>
              <w:t>L.TPJ</w:t>
            </w:r>
          </w:p>
        </w:tc>
        <w:tc>
          <w:tcPr>
            <w:tcW w:w="3250" w:type="dxa"/>
            <w:shd w:val="clear" w:color="auto" w:fill="auto"/>
          </w:tcPr>
          <w:p>
            <w:pPr>
              <w:jc w:val="center"/>
              <w:rPr>
                <w:rFonts w:ascii="Arial" w:hAnsi="Arial" w:cs="Arial"/>
                <w:sz w:val="20"/>
                <w:szCs w:val="20"/>
              </w:rPr>
            </w:pPr>
            <w:r>
              <w:rPr>
                <w:rFonts w:ascii="Arial" w:hAnsi="Arial" w:cs="Arial"/>
                <w:sz w:val="20"/>
                <w:szCs w:val="20"/>
              </w:rPr>
              <w:t>L.</w:t>
            </w:r>
            <w:r>
              <w:rPr>
                <w:rFonts w:hint="eastAsia" w:ascii="Arial" w:hAnsi="Arial" w:cs="Arial"/>
                <w:sz w:val="20"/>
                <w:szCs w:val="20"/>
              </w:rPr>
              <w:t>mPFC</w:t>
            </w:r>
          </w:p>
        </w:tc>
        <w:tc>
          <w:tcPr>
            <w:tcW w:w="2450" w:type="dxa"/>
            <w:shd w:val="clear" w:color="auto" w:fill="auto"/>
          </w:tcPr>
          <w:p>
            <w:pPr>
              <w:jc w:val="center"/>
              <w:rPr>
                <w:rFonts w:ascii="Arial" w:hAnsi="Arial" w:cs="Arial"/>
                <w:sz w:val="20"/>
                <w:szCs w:val="20"/>
              </w:rPr>
            </w:pPr>
            <w:r>
              <w:rPr>
                <w:rFonts w:ascii="Arial" w:hAnsi="Arial" w:cs="Arial"/>
                <w:sz w:val="20"/>
                <w:szCs w:val="20"/>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center"/>
              <w:rPr>
                <w:rFonts w:ascii="Arial" w:hAnsi="Arial" w:cs="Arial"/>
                <w:sz w:val="20"/>
                <w:szCs w:val="20"/>
              </w:rPr>
            </w:pPr>
            <w:r>
              <w:rPr>
                <w:rFonts w:ascii="Arial" w:hAnsi="Arial" w:cs="Arial"/>
                <w:sz w:val="20"/>
                <w:szCs w:val="20"/>
              </w:rPr>
              <w:t>R.TPJ</w:t>
            </w:r>
          </w:p>
        </w:tc>
        <w:tc>
          <w:tcPr>
            <w:tcW w:w="3250" w:type="dxa"/>
            <w:shd w:val="clear" w:color="auto" w:fill="auto"/>
          </w:tcPr>
          <w:p>
            <w:pPr>
              <w:jc w:val="center"/>
              <w:rPr>
                <w:rFonts w:ascii="Arial" w:hAnsi="Arial" w:cs="Arial"/>
                <w:sz w:val="20"/>
                <w:szCs w:val="20"/>
              </w:rPr>
            </w:pPr>
            <w:r>
              <w:rPr>
                <w:rFonts w:ascii="Arial" w:hAnsi="Arial" w:cs="Arial"/>
                <w:sz w:val="20"/>
                <w:szCs w:val="20"/>
              </w:rPr>
              <w:t>L.</w:t>
            </w:r>
            <w:r>
              <w:rPr>
                <w:rFonts w:hint="eastAsia" w:ascii="Arial" w:hAnsi="Arial" w:cs="Arial"/>
                <w:sz w:val="20"/>
                <w:szCs w:val="20"/>
              </w:rPr>
              <w:t>mPFC</w:t>
            </w:r>
            <w:r>
              <w:rPr>
                <w:rFonts w:ascii="Arial" w:hAnsi="Arial" w:cs="Arial"/>
                <w:sz w:val="20"/>
                <w:szCs w:val="20"/>
              </w:rPr>
              <w:t>, R. L.</w:t>
            </w:r>
            <w:r>
              <w:rPr>
                <w:rFonts w:hint="eastAsia" w:ascii="Arial" w:hAnsi="Arial" w:cs="Arial"/>
                <w:sz w:val="20"/>
                <w:szCs w:val="20"/>
              </w:rPr>
              <w:t>mPFC</w:t>
            </w:r>
          </w:p>
        </w:tc>
        <w:tc>
          <w:tcPr>
            <w:tcW w:w="2450" w:type="dxa"/>
            <w:shd w:val="clear" w:color="auto" w:fill="auto"/>
          </w:tcPr>
          <w:p>
            <w:pPr>
              <w:jc w:val="center"/>
              <w:rPr>
                <w:rFonts w:ascii="Arial" w:hAnsi="Arial" w:cs="Arial"/>
                <w:sz w:val="20"/>
                <w:szCs w:val="20"/>
              </w:rPr>
            </w:pPr>
            <w:r>
              <w:rPr>
                <w:rFonts w:ascii="Arial" w:hAnsi="Arial" w:cs="Arial"/>
                <w:sz w:val="20"/>
                <w:szCs w:val="20"/>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left"/>
              <w:rPr>
                <w:rFonts w:ascii="Arial" w:hAnsi="Arial" w:cs="Arial"/>
                <w:b/>
                <w:bCs/>
                <w:sz w:val="20"/>
                <w:szCs w:val="20"/>
              </w:rPr>
            </w:pPr>
            <w:r>
              <w:rPr>
                <w:rFonts w:ascii="Arial" w:hAnsi="Arial" w:cs="Arial"/>
                <w:b/>
                <w:bCs/>
                <w:sz w:val="20"/>
                <w:szCs w:val="20"/>
              </w:rPr>
              <w:t>25-48 Months</w:t>
            </w:r>
          </w:p>
        </w:tc>
        <w:tc>
          <w:tcPr>
            <w:tcW w:w="3250" w:type="dxa"/>
            <w:shd w:val="clear" w:color="auto" w:fill="auto"/>
          </w:tcPr>
          <w:p>
            <w:pPr>
              <w:jc w:val="center"/>
              <w:rPr>
                <w:rFonts w:ascii="Arial" w:hAnsi="Arial" w:cs="Arial"/>
                <w:sz w:val="20"/>
                <w:szCs w:val="20"/>
              </w:rPr>
            </w:pPr>
          </w:p>
        </w:tc>
        <w:tc>
          <w:tcPr>
            <w:tcW w:w="2450" w:type="dxa"/>
            <w:shd w:val="clear" w:color="auto" w:fill="auto"/>
          </w:tcPr>
          <w:p>
            <w:pPr>
              <w:jc w:val="center"/>
              <w:rPr>
                <w:rFonts w:ascii="Arial" w:hAnsi="Arial" w:cs="Arial"/>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rPr>
                <w:rFonts w:ascii="Arial" w:hAnsi="Arial" w:cs="Arial"/>
                <w:sz w:val="20"/>
                <w:szCs w:val="20"/>
              </w:rPr>
            </w:pPr>
            <w:r>
              <w:rPr>
                <w:rFonts w:ascii="Arial" w:hAnsi="Arial" w:cs="Arial"/>
                <w:sz w:val="20"/>
                <w:szCs w:val="20"/>
              </w:rPr>
              <w:t>Exteroceptive-self</w:t>
            </w:r>
          </w:p>
        </w:tc>
        <w:tc>
          <w:tcPr>
            <w:tcW w:w="3250" w:type="dxa"/>
            <w:shd w:val="clear" w:color="auto" w:fill="auto"/>
          </w:tcPr>
          <w:p>
            <w:pPr>
              <w:jc w:val="center"/>
              <w:rPr>
                <w:rFonts w:ascii="Arial" w:hAnsi="Arial" w:cs="Arial"/>
                <w:sz w:val="20"/>
                <w:szCs w:val="20"/>
              </w:rPr>
            </w:pPr>
          </w:p>
        </w:tc>
        <w:tc>
          <w:tcPr>
            <w:tcW w:w="2450" w:type="dxa"/>
            <w:shd w:val="clear" w:color="auto" w:fill="auto"/>
          </w:tcPr>
          <w:p>
            <w:pPr>
              <w:jc w:val="center"/>
              <w:rPr>
                <w:rFonts w:ascii="Arial" w:hAnsi="Arial" w:cs="Arial"/>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center"/>
              <w:rPr>
                <w:rFonts w:ascii="Arial" w:hAnsi="Arial" w:cs="Arial"/>
                <w:sz w:val="20"/>
                <w:szCs w:val="20"/>
              </w:rPr>
            </w:pPr>
            <w:r>
              <w:rPr>
                <w:rFonts w:ascii="Arial" w:hAnsi="Arial" w:cs="Arial"/>
                <w:sz w:val="20"/>
                <w:szCs w:val="20"/>
              </w:rPr>
              <w:t>L.TPJ</w:t>
            </w:r>
          </w:p>
        </w:tc>
        <w:tc>
          <w:tcPr>
            <w:tcW w:w="3250" w:type="dxa"/>
            <w:shd w:val="clear" w:color="auto" w:fill="auto"/>
          </w:tcPr>
          <w:p>
            <w:pPr>
              <w:jc w:val="center"/>
              <w:rPr>
                <w:rFonts w:ascii="Arial" w:hAnsi="Arial" w:cs="Arial"/>
                <w:sz w:val="20"/>
                <w:szCs w:val="20"/>
              </w:rPr>
            </w:pPr>
            <w:r>
              <w:rPr>
                <w:rFonts w:ascii="Arial" w:hAnsi="Arial" w:cs="Arial"/>
                <w:sz w:val="20"/>
                <w:szCs w:val="20"/>
              </w:rPr>
              <w:t>R.PMC</w:t>
            </w:r>
          </w:p>
        </w:tc>
        <w:tc>
          <w:tcPr>
            <w:tcW w:w="2450" w:type="dxa"/>
            <w:shd w:val="clear" w:color="auto" w:fill="auto"/>
          </w:tcPr>
          <w:p>
            <w:pPr>
              <w:jc w:val="center"/>
              <w:rPr>
                <w:rFonts w:ascii="Arial" w:hAnsi="Arial" w:cs="Arial"/>
                <w:sz w:val="20"/>
                <w:szCs w:val="20"/>
              </w:rPr>
            </w:pPr>
            <w:r>
              <w:rPr>
                <w:rFonts w:ascii="Arial" w:hAnsi="Arial" w:cs="Arial"/>
                <w:sz w:val="20"/>
                <w:szCs w:val="20"/>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center"/>
              <w:rPr>
                <w:rFonts w:ascii="Arial" w:hAnsi="Arial" w:cs="Arial"/>
                <w:sz w:val="20"/>
                <w:szCs w:val="20"/>
              </w:rPr>
            </w:pPr>
            <w:r>
              <w:rPr>
                <w:rFonts w:ascii="Arial" w:hAnsi="Arial" w:cs="Arial"/>
                <w:sz w:val="20"/>
                <w:szCs w:val="20"/>
              </w:rPr>
              <w:t>R.TPJ</w:t>
            </w:r>
          </w:p>
        </w:tc>
        <w:tc>
          <w:tcPr>
            <w:tcW w:w="3250" w:type="dxa"/>
            <w:shd w:val="clear" w:color="auto" w:fill="auto"/>
          </w:tcPr>
          <w:p>
            <w:pPr>
              <w:jc w:val="center"/>
              <w:rPr>
                <w:rFonts w:ascii="Arial" w:hAnsi="Arial" w:cs="Arial"/>
                <w:sz w:val="20"/>
                <w:szCs w:val="20"/>
              </w:rPr>
            </w:pPr>
            <w:r>
              <w:rPr>
                <w:rFonts w:ascii="Arial" w:hAnsi="Arial" w:cs="Arial"/>
                <w:sz w:val="20"/>
                <w:szCs w:val="20"/>
              </w:rPr>
              <w:t>L.</w:t>
            </w:r>
            <w:r>
              <w:rPr>
                <w:rFonts w:hint="eastAsia" w:ascii="Arial" w:hAnsi="Arial" w:cs="Arial"/>
                <w:sz w:val="20"/>
                <w:szCs w:val="20"/>
              </w:rPr>
              <w:t>mPFC</w:t>
            </w:r>
            <w:r>
              <w:rPr>
                <w:rFonts w:ascii="Arial" w:hAnsi="Arial" w:cs="Arial"/>
                <w:sz w:val="20"/>
                <w:szCs w:val="20"/>
              </w:rPr>
              <w:t>, R. L.</w:t>
            </w:r>
            <w:r>
              <w:rPr>
                <w:rFonts w:hint="eastAsia" w:ascii="Arial" w:hAnsi="Arial" w:cs="Arial"/>
                <w:sz w:val="20"/>
                <w:szCs w:val="20"/>
              </w:rPr>
              <w:t>mPFC</w:t>
            </w:r>
          </w:p>
        </w:tc>
        <w:tc>
          <w:tcPr>
            <w:tcW w:w="2450" w:type="dxa"/>
            <w:shd w:val="clear" w:color="auto" w:fill="auto"/>
          </w:tcPr>
          <w:p>
            <w:pPr>
              <w:jc w:val="center"/>
              <w:rPr>
                <w:rFonts w:ascii="Arial" w:hAnsi="Arial" w:cs="Arial"/>
                <w:sz w:val="20"/>
                <w:szCs w:val="20"/>
              </w:rPr>
            </w:pPr>
            <w:r>
              <w:rPr>
                <w:rFonts w:ascii="Arial" w:hAnsi="Arial" w:cs="Arial"/>
                <w:sz w:val="20"/>
                <w:szCs w:val="20"/>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left"/>
              <w:rPr>
                <w:rFonts w:ascii="Arial" w:hAnsi="Arial" w:cs="Arial"/>
                <w:sz w:val="20"/>
                <w:szCs w:val="20"/>
              </w:rPr>
            </w:pPr>
            <w:r>
              <w:rPr>
                <w:rFonts w:ascii="Arial" w:hAnsi="Arial" w:cs="Arial"/>
                <w:sz w:val="20"/>
                <w:szCs w:val="20"/>
              </w:rPr>
              <w:t>Mental-self</w:t>
            </w:r>
          </w:p>
        </w:tc>
        <w:tc>
          <w:tcPr>
            <w:tcW w:w="3250" w:type="dxa"/>
            <w:shd w:val="clear" w:color="auto" w:fill="auto"/>
          </w:tcPr>
          <w:p>
            <w:pPr>
              <w:jc w:val="center"/>
              <w:rPr>
                <w:rFonts w:ascii="Arial" w:hAnsi="Arial" w:cs="Arial"/>
                <w:sz w:val="20"/>
                <w:szCs w:val="20"/>
              </w:rPr>
            </w:pPr>
          </w:p>
        </w:tc>
        <w:tc>
          <w:tcPr>
            <w:tcW w:w="2450" w:type="dxa"/>
            <w:shd w:val="clear" w:color="auto" w:fill="auto"/>
          </w:tcPr>
          <w:p>
            <w:pPr>
              <w:jc w:val="center"/>
              <w:rPr>
                <w:rFonts w:ascii="Arial" w:hAnsi="Arial" w:cs="Arial"/>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center"/>
              <w:rPr>
                <w:rFonts w:ascii="Arial" w:hAnsi="Arial" w:cs="Arial"/>
                <w:sz w:val="20"/>
                <w:szCs w:val="20"/>
              </w:rPr>
            </w:pPr>
            <w:r>
              <w:rPr>
                <w:rFonts w:ascii="Arial" w:hAnsi="Arial" w:cs="Arial"/>
                <w:sz w:val="20"/>
                <w:szCs w:val="20"/>
              </w:rPr>
              <w:t>L.ACC</w:t>
            </w:r>
          </w:p>
        </w:tc>
        <w:tc>
          <w:tcPr>
            <w:tcW w:w="3250" w:type="dxa"/>
            <w:shd w:val="clear" w:color="auto" w:fill="auto"/>
          </w:tcPr>
          <w:p>
            <w:pPr>
              <w:jc w:val="center"/>
              <w:rPr>
                <w:rFonts w:ascii="Arial" w:hAnsi="Arial" w:cs="Arial"/>
                <w:sz w:val="20"/>
                <w:szCs w:val="20"/>
              </w:rPr>
            </w:pPr>
            <w:r>
              <w:rPr>
                <w:rFonts w:ascii="Arial" w:hAnsi="Arial" w:cs="Arial"/>
                <w:sz w:val="20"/>
                <w:szCs w:val="20"/>
              </w:rPr>
              <w:t>L.PCC</w:t>
            </w:r>
          </w:p>
        </w:tc>
        <w:tc>
          <w:tcPr>
            <w:tcW w:w="2450" w:type="dxa"/>
            <w:shd w:val="clear" w:color="auto" w:fill="auto"/>
          </w:tcPr>
          <w:p>
            <w:pPr>
              <w:jc w:val="center"/>
              <w:rPr>
                <w:rFonts w:ascii="Arial" w:hAnsi="Arial" w:cs="Arial"/>
                <w:sz w:val="20"/>
                <w:szCs w:val="20"/>
              </w:rPr>
            </w:pPr>
            <w:r>
              <w:rPr>
                <w:rFonts w:ascii="Arial" w:hAnsi="Arial" w:cs="Arial"/>
                <w:sz w:val="20"/>
                <w:szCs w:val="20"/>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486" w:type="dxa"/>
            <w:shd w:val="clear" w:color="auto" w:fill="auto"/>
          </w:tcPr>
          <w:p>
            <w:pPr>
              <w:widowControl/>
              <w:jc w:val="center"/>
              <w:rPr>
                <w:rFonts w:ascii="Arial" w:hAnsi="Arial" w:cs="Arial"/>
                <w:sz w:val="20"/>
                <w:szCs w:val="20"/>
              </w:rPr>
            </w:pPr>
            <w:r>
              <w:rPr>
                <w:rFonts w:ascii="Arial" w:hAnsi="Arial" w:cs="Arial"/>
                <w:sz w:val="20"/>
                <w:szCs w:val="20"/>
              </w:rPr>
              <w:t>R.ACC</w:t>
            </w:r>
          </w:p>
        </w:tc>
        <w:tc>
          <w:tcPr>
            <w:tcW w:w="3250" w:type="dxa"/>
            <w:shd w:val="clear" w:color="auto" w:fill="auto"/>
          </w:tcPr>
          <w:p>
            <w:pPr>
              <w:jc w:val="center"/>
              <w:rPr>
                <w:rFonts w:ascii="Arial" w:hAnsi="Arial" w:cs="Arial"/>
                <w:sz w:val="20"/>
                <w:szCs w:val="20"/>
              </w:rPr>
            </w:pPr>
            <w:r>
              <w:rPr>
                <w:rFonts w:ascii="Arial" w:hAnsi="Arial" w:cs="Arial"/>
                <w:sz w:val="20"/>
                <w:szCs w:val="20"/>
              </w:rPr>
              <w:t>L.PCC</w:t>
            </w:r>
          </w:p>
        </w:tc>
        <w:tc>
          <w:tcPr>
            <w:tcW w:w="2450" w:type="dxa"/>
            <w:shd w:val="clear" w:color="auto" w:fill="auto"/>
          </w:tcPr>
          <w:p>
            <w:pPr>
              <w:jc w:val="center"/>
              <w:rPr>
                <w:rFonts w:ascii="Arial" w:hAnsi="Arial" w:cs="Arial"/>
                <w:sz w:val="20"/>
                <w:szCs w:val="20"/>
              </w:rPr>
            </w:pPr>
            <w:r>
              <w:rPr>
                <w:rFonts w:ascii="Arial" w:hAnsi="Arial" w:cs="Arial"/>
                <w:sz w:val="20"/>
                <w:szCs w:val="20"/>
              </w:rPr>
              <w:t>—</w:t>
            </w:r>
          </w:p>
        </w:tc>
      </w:tr>
    </w:tbl>
    <w:p>
      <w:pPr>
        <w:widowControl/>
        <w:spacing w:before="240" w:after="60"/>
        <w:jc w:val="left"/>
        <w:rPr>
          <w:rFonts w:hint="eastAsia" w:ascii="Arial" w:hAnsi="Arial" w:cs="Arial"/>
          <w:color w:val="000000"/>
          <w:sz w:val="20"/>
          <w:szCs w:val="20"/>
        </w:rPr>
      </w:pPr>
      <w:r>
        <w:rPr>
          <w:rFonts w:hint="eastAsia" w:ascii="Arial" w:hAnsi="Arial" w:cs="Arial"/>
          <w:color w:val="000000"/>
          <w:sz w:val="20"/>
          <w:szCs w:val="20"/>
        </w:rPr>
        <w:t>Brain regions are the core brain regions of self-network, and the functional connectivity (FC) means abnormal FC between the brain regions</w:t>
      </w:r>
      <w:r>
        <w:rPr>
          <w:rFonts w:ascii="Arial" w:hAnsi="Arial" w:cs="Arial"/>
          <w:color w:val="000000"/>
          <w:sz w:val="20"/>
          <w:szCs w:val="20"/>
        </w:rPr>
        <w:t xml:space="preserve"> </w:t>
      </w:r>
      <w:r>
        <w:rPr>
          <w:rFonts w:hint="eastAsia" w:ascii="Arial" w:hAnsi="Arial" w:cs="Arial"/>
          <w:color w:val="000000"/>
          <w:sz w:val="20"/>
          <w:szCs w:val="20"/>
        </w:rPr>
        <w:t>of</w:t>
      </w:r>
      <w:r>
        <w:rPr>
          <w:rFonts w:ascii="Arial" w:hAnsi="Arial" w:cs="Arial"/>
          <w:color w:val="000000"/>
          <w:sz w:val="20"/>
          <w:szCs w:val="20"/>
        </w:rPr>
        <w:t xml:space="preserve"> </w:t>
      </w:r>
      <w:r>
        <w:rPr>
          <w:rFonts w:hint="eastAsia" w:ascii="Arial" w:hAnsi="Arial" w:cs="Arial"/>
          <w:color w:val="000000"/>
          <w:sz w:val="20"/>
          <w:szCs w:val="20"/>
        </w:rPr>
        <w:t xml:space="preserve">self-network.  </w:t>
      </w:r>
      <w:r>
        <w:rPr>
          <w:rFonts w:ascii="Arial" w:hAnsi="Arial" w:cs="Arial"/>
          <w:color w:val="000000"/>
          <w:sz w:val="20"/>
          <w:szCs w:val="20"/>
        </w:rPr>
        <w:t>L.</w:t>
      </w:r>
      <w:r>
        <w:rPr>
          <w:rFonts w:hint="eastAsia" w:ascii="Arial" w:hAnsi="Arial" w:cs="Arial"/>
          <w:color w:val="000000"/>
          <w:sz w:val="20"/>
          <w:szCs w:val="20"/>
        </w:rPr>
        <w:t>means left hemisphere; R.means right hemispher; a</w:t>
      </w:r>
      <w:r>
        <w:rPr>
          <w:rFonts w:ascii="Arial" w:hAnsi="Arial" w:cs="Arial"/>
          <w:color w:val="000000"/>
          <w:sz w:val="20"/>
          <w:szCs w:val="20"/>
        </w:rPr>
        <w:t>bbreviations</w:t>
      </w:r>
      <w:r>
        <w:rPr>
          <w:rFonts w:hint="eastAsia" w:ascii="Arial" w:hAnsi="Arial" w:cs="Arial"/>
          <w:color w:val="000000"/>
          <w:sz w:val="20"/>
          <w:szCs w:val="20"/>
        </w:rPr>
        <w:t xml:space="preserve"> of</w:t>
      </w:r>
      <w:r>
        <w:rPr>
          <w:rFonts w:ascii="Arial" w:hAnsi="Arial" w:cs="Arial"/>
          <w:color w:val="000000"/>
          <w:sz w:val="20"/>
          <w:szCs w:val="20"/>
        </w:rPr>
        <w:t xml:space="preserve"> </w:t>
      </w:r>
      <w:r>
        <w:rPr>
          <w:rFonts w:hint="eastAsia" w:ascii="Arial" w:hAnsi="Arial" w:cs="Arial"/>
          <w:color w:val="000000"/>
          <w:sz w:val="20"/>
          <w:szCs w:val="20"/>
        </w:rPr>
        <w:t xml:space="preserve">the brain regions: TPJ: </w:t>
      </w:r>
      <w:r>
        <w:rPr>
          <w:rFonts w:ascii="Arial" w:hAnsi="Arial" w:cs="Arial"/>
          <w:color w:val="000000"/>
          <w:sz w:val="20"/>
          <w:szCs w:val="20"/>
        </w:rPr>
        <w:t>temporo-parietal junction</w:t>
      </w:r>
      <w:r>
        <w:rPr>
          <w:rFonts w:hint="eastAsia" w:ascii="Arial" w:hAnsi="Arial" w:cs="Arial"/>
          <w:color w:val="000000"/>
          <w:sz w:val="20"/>
          <w:szCs w:val="20"/>
        </w:rPr>
        <w:t xml:space="preserve">; mPFC: </w:t>
      </w:r>
      <w:r>
        <w:rPr>
          <w:rFonts w:ascii="Arial" w:hAnsi="Arial" w:cs="Arial"/>
          <w:color w:val="000000"/>
          <w:sz w:val="20"/>
          <w:szCs w:val="20"/>
        </w:rPr>
        <w:t xml:space="preserve">medial </w:t>
      </w:r>
      <w:r>
        <w:rPr>
          <w:rFonts w:ascii="Arial" w:hAnsi="Arial" w:cs="Arial" w:eastAsiaTheme="minorHAnsi"/>
          <w:color w:val="000000"/>
          <w:sz w:val="20"/>
          <w:szCs w:val="20"/>
        </w:rPr>
        <w:t>prefrontal cortex</w:t>
      </w:r>
      <w:r>
        <w:rPr>
          <w:rFonts w:hint="eastAsia" w:ascii="Arial" w:hAnsi="Arial" w:cs="Arial"/>
          <w:color w:val="000000"/>
          <w:sz w:val="20"/>
          <w:szCs w:val="20"/>
        </w:rPr>
        <w:t xml:space="preserve">; ACC: </w:t>
      </w:r>
      <w:r>
        <w:rPr>
          <w:rFonts w:ascii="Arial" w:hAnsi="Arial" w:cs="Arial"/>
          <w:color w:val="000000"/>
          <w:sz w:val="20"/>
          <w:szCs w:val="20"/>
        </w:rPr>
        <w:t xml:space="preserve">anterior cingulate </w:t>
      </w:r>
      <w:r>
        <w:rPr>
          <w:rFonts w:ascii="Arial" w:hAnsi="Arial" w:cs="Arial" w:eastAsiaTheme="minorHAnsi"/>
          <w:color w:val="000000"/>
          <w:sz w:val="20"/>
          <w:szCs w:val="20"/>
        </w:rPr>
        <w:t>cortex</w:t>
      </w:r>
      <w:r>
        <w:rPr>
          <w:rFonts w:hint="eastAsia" w:ascii="Arial" w:hAnsi="Arial" w:cs="Arial"/>
          <w:color w:val="000000"/>
          <w:sz w:val="20"/>
          <w:szCs w:val="20"/>
        </w:rPr>
        <w:t xml:space="preserve">; </w:t>
      </w:r>
      <w:r>
        <w:rPr>
          <w:rFonts w:ascii="Arial" w:hAnsi="Arial" w:cs="Arial"/>
          <w:color w:val="000000"/>
          <w:sz w:val="20"/>
          <w:szCs w:val="20"/>
        </w:rPr>
        <w:t>PMC</w:t>
      </w:r>
      <w:r>
        <w:rPr>
          <w:rFonts w:hint="eastAsia" w:ascii="Arial" w:hAnsi="Arial" w:cs="Arial"/>
          <w:color w:val="000000"/>
          <w:sz w:val="20"/>
          <w:szCs w:val="20"/>
        </w:rPr>
        <w:t xml:space="preserve">: </w:t>
      </w:r>
      <w:r>
        <w:rPr>
          <w:rFonts w:ascii="Arial" w:hAnsi="Arial" w:cs="Arial" w:eastAsiaTheme="minorHAnsi"/>
          <w:color w:val="000000"/>
          <w:sz w:val="20"/>
          <w:szCs w:val="20"/>
        </w:rPr>
        <w:t>premotor cortex</w:t>
      </w:r>
      <w:r>
        <w:rPr>
          <w:rFonts w:hint="eastAsia" w:ascii="Arial" w:hAnsi="Arial" w:cs="Arial"/>
          <w:color w:val="000000"/>
          <w:sz w:val="20"/>
          <w:szCs w:val="20"/>
        </w:rPr>
        <w:t xml:space="preserve">; PCC: </w:t>
      </w:r>
      <w:r>
        <w:rPr>
          <w:rFonts w:ascii="Arial" w:hAnsi="Arial" w:cs="Arial"/>
          <w:color w:val="000000"/>
          <w:sz w:val="20"/>
          <w:szCs w:val="20"/>
        </w:rPr>
        <w:t xml:space="preserve">posterior cingulate </w:t>
      </w:r>
      <w:r>
        <w:rPr>
          <w:rFonts w:ascii="Arial" w:hAnsi="Arial" w:cs="Arial" w:eastAsiaTheme="minorHAnsi"/>
          <w:color w:val="000000"/>
          <w:sz w:val="20"/>
          <w:szCs w:val="20"/>
        </w:rPr>
        <w:t>cortex</w:t>
      </w:r>
      <w:r>
        <w:rPr>
          <w:rFonts w:hint="eastAsia" w:ascii="宋体" w:hAnsi="宋体" w:cs="宋体"/>
          <w:color w:val="000000"/>
          <w:sz w:val="20"/>
          <w:szCs w:val="20"/>
        </w:rPr>
        <w:t>.</w:t>
      </w:r>
    </w:p>
    <w:p>
      <w:pPr>
        <w:widowControl/>
        <w:jc w:val="left"/>
        <w:rPr>
          <w:rFonts w:ascii="Arial" w:hAnsi="Arial" w:cs="Arial"/>
          <w:b/>
          <w:bCs/>
          <w:color w:val="000000"/>
          <w:sz w:val="20"/>
          <w:szCs w:val="20"/>
        </w:rPr>
      </w:pPr>
      <w:r>
        <w:rPr>
          <w:rFonts w:ascii="Arial" w:hAnsi="Arial" w:cs="Arial"/>
          <w:b/>
          <w:bCs/>
          <w:color w:val="000000"/>
          <w:sz w:val="20"/>
          <w:szCs w:val="20"/>
        </w:rPr>
        <w:br w:type="page"/>
      </w:r>
    </w:p>
    <w:p>
      <w:pPr>
        <w:jc w:val="left"/>
        <w:rPr>
          <w:rFonts w:ascii="Arial" w:hAnsi="Arial" w:cs="Arial"/>
          <w:b/>
          <w:bCs/>
          <w:color w:val="000000"/>
          <w:sz w:val="20"/>
          <w:szCs w:val="20"/>
        </w:rPr>
      </w:pPr>
      <w:r>
        <w:rPr>
          <w:rFonts w:hint="eastAsia" w:ascii="Arial" w:hAnsi="Arial" w:cs="Arial"/>
          <w:b/>
          <w:bCs/>
          <w:color w:val="000000"/>
          <w:sz w:val="20"/>
          <w:szCs w:val="20"/>
        </w:rPr>
        <w:t>Table S2</w:t>
      </w:r>
      <w:r>
        <w:rPr>
          <w:rFonts w:ascii="Arial" w:hAnsi="Arial" w:cs="Arial"/>
          <w:b/>
          <w:bCs/>
          <w:color w:val="000000"/>
          <w:sz w:val="20"/>
          <w:szCs w:val="20"/>
        </w:rPr>
        <w:t xml:space="preserve">. </w:t>
      </w:r>
      <w:r>
        <w:rPr>
          <w:rFonts w:hint="eastAsia" w:ascii="Arial" w:hAnsi="Arial" w:cs="Arial"/>
          <w:b/>
          <w:bCs/>
          <w:color w:val="000000"/>
          <w:sz w:val="20"/>
          <w:szCs w:val="20"/>
        </w:rPr>
        <w:t>F</w:t>
      </w:r>
      <w:r>
        <w:rPr>
          <w:rFonts w:ascii="Arial" w:hAnsi="Arial" w:cs="Arial"/>
          <w:b/>
          <w:bCs/>
          <w:color w:val="000000"/>
          <w:sz w:val="20"/>
          <w:szCs w:val="20"/>
        </w:rPr>
        <w:t xml:space="preserve">unctional </w:t>
      </w:r>
      <w:r>
        <w:rPr>
          <w:rFonts w:hint="eastAsia" w:ascii="Arial" w:hAnsi="Arial" w:cs="Arial"/>
          <w:b/>
          <w:bCs/>
          <w:color w:val="000000"/>
          <w:sz w:val="20"/>
          <w:szCs w:val="20"/>
        </w:rPr>
        <w:t>c</w:t>
      </w:r>
      <w:r>
        <w:rPr>
          <w:rFonts w:ascii="Arial" w:hAnsi="Arial" w:cs="Arial"/>
          <w:b/>
          <w:bCs/>
          <w:color w:val="000000"/>
          <w:sz w:val="20"/>
          <w:szCs w:val="20"/>
        </w:rPr>
        <w:t>onnectivity of self-network</w:t>
      </w:r>
      <w:r>
        <w:rPr>
          <w:rFonts w:hint="eastAsia" w:ascii="Arial" w:hAnsi="Arial" w:cs="Arial"/>
          <w:b/>
          <w:bCs/>
          <w:color w:val="000000"/>
          <w:sz w:val="20"/>
          <w:szCs w:val="20"/>
        </w:rPr>
        <w:t>s in age group comparison</w:t>
      </w:r>
    </w:p>
    <w:tbl>
      <w:tblPr>
        <w:tblStyle w:val="4"/>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99"/>
        <w:gridCol w:w="3050"/>
        <w:gridCol w:w="304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tcBorders>
              <w:top w:val="single" w:color="auto" w:sz="12" w:space="0"/>
              <w:left w:val="nil"/>
              <w:bottom w:val="single" w:color="auto" w:sz="6" w:space="0"/>
              <w:right w:val="nil"/>
            </w:tcBorders>
            <w:shd w:val="clear" w:color="auto" w:fill="auto"/>
          </w:tcPr>
          <w:p>
            <w:pPr>
              <w:jc w:val="center"/>
              <w:rPr>
                <w:rFonts w:ascii="Arial" w:hAnsi="Arial" w:cs="Arial"/>
                <w:b/>
                <w:sz w:val="20"/>
                <w:szCs w:val="20"/>
              </w:rPr>
            </w:pPr>
            <w:r>
              <w:rPr>
                <w:rFonts w:hint="eastAsia" w:ascii="Arial" w:hAnsi="Arial" w:cs="Arial"/>
                <w:b/>
                <w:sz w:val="20"/>
                <w:szCs w:val="20"/>
              </w:rPr>
              <w:t>Brain regions</w:t>
            </w:r>
          </w:p>
        </w:tc>
        <w:tc>
          <w:tcPr>
            <w:tcW w:w="6090" w:type="dxa"/>
            <w:gridSpan w:val="2"/>
            <w:tcBorders>
              <w:top w:val="single" w:color="auto" w:sz="12" w:space="0"/>
              <w:bottom w:val="single" w:color="auto" w:sz="6" w:space="0"/>
              <w:right w:val="nil"/>
            </w:tcBorders>
            <w:shd w:val="clear" w:color="auto" w:fill="auto"/>
          </w:tcPr>
          <w:p>
            <w:pPr>
              <w:jc w:val="center"/>
              <w:rPr>
                <w:rFonts w:ascii="Arial" w:hAnsi="Arial" w:cs="Arial"/>
                <w:b/>
                <w:sz w:val="20"/>
                <w:szCs w:val="20"/>
              </w:rPr>
            </w:pPr>
            <w:r>
              <w:rPr>
                <w:rFonts w:hint="eastAsia" w:ascii="Arial" w:hAnsi="Arial" w:cs="Arial"/>
                <w:b/>
                <w:sz w:val="20"/>
                <w:szCs w:val="20"/>
              </w:rPr>
              <w:t>Functional connectivity</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shd w:val="clear" w:color="auto" w:fill="auto"/>
          </w:tcPr>
          <w:p>
            <w:pPr>
              <w:widowControl/>
              <w:jc w:val="left"/>
              <w:rPr>
                <w:rFonts w:ascii="Arial" w:hAnsi="Arial" w:cs="Arial"/>
                <w:b/>
                <w:bCs/>
                <w:sz w:val="20"/>
                <w:szCs w:val="20"/>
              </w:rPr>
            </w:pPr>
            <w:r>
              <w:rPr>
                <w:rFonts w:hint="eastAsia" w:ascii="Arial" w:hAnsi="Arial" w:cs="Arial"/>
                <w:b/>
                <w:bCs/>
                <w:sz w:val="20"/>
                <w:szCs w:val="20"/>
              </w:rPr>
              <w:t>ASD</w:t>
            </w:r>
          </w:p>
          <w:p>
            <w:pPr>
              <w:widowControl/>
              <w:jc w:val="left"/>
              <w:rPr>
                <w:rFonts w:ascii="Arial" w:hAnsi="Arial" w:cs="Arial"/>
                <w:sz w:val="20"/>
                <w:szCs w:val="20"/>
              </w:rPr>
            </w:pPr>
            <w:r>
              <w:rPr>
                <w:rFonts w:hint="eastAsia" w:ascii="Arial" w:hAnsi="Arial" w:cs="Arial"/>
                <w:sz w:val="20"/>
                <w:szCs w:val="20"/>
              </w:rPr>
              <w:t>Interoceptive-self</w:t>
            </w:r>
          </w:p>
        </w:tc>
        <w:tc>
          <w:tcPr>
            <w:tcW w:w="3050" w:type="dxa"/>
            <w:shd w:val="clear" w:color="auto" w:fill="auto"/>
          </w:tcPr>
          <w:p>
            <w:pPr>
              <w:jc w:val="center"/>
              <w:rPr>
                <w:rFonts w:ascii="Arial" w:hAnsi="Arial" w:cs="Arial"/>
                <w:sz w:val="20"/>
                <w:szCs w:val="20"/>
              </w:rPr>
            </w:pPr>
            <w:r>
              <w:rPr>
                <w:rFonts w:hint="eastAsia" w:ascii="Arial" w:hAnsi="Arial" w:cs="Arial"/>
                <w:b/>
                <w:sz w:val="20"/>
                <w:szCs w:val="20"/>
              </w:rPr>
              <w:t>25-48 Months &gt; 18-24</w:t>
            </w:r>
            <w:r>
              <w:rPr>
                <w:rFonts w:ascii="Arial" w:hAnsi="Arial" w:cs="Arial"/>
                <w:b/>
                <w:sz w:val="20"/>
                <w:szCs w:val="20"/>
              </w:rPr>
              <w:t xml:space="preserve"> </w:t>
            </w:r>
            <w:r>
              <w:rPr>
                <w:rFonts w:hint="eastAsia" w:ascii="Arial" w:hAnsi="Arial" w:cs="Arial"/>
                <w:b/>
                <w:sz w:val="20"/>
                <w:szCs w:val="20"/>
              </w:rPr>
              <w:t>Months</w:t>
            </w:r>
            <w:r>
              <w:rPr>
                <w:rFonts w:ascii="Arial" w:hAnsi="Arial" w:cs="Arial"/>
                <w:b/>
                <w:sz w:val="20"/>
                <w:szCs w:val="20"/>
              </w:rPr>
              <w:t xml:space="preserve"> </w:t>
            </w:r>
          </w:p>
        </w:tc>
        <w:tc>
          <w:tcPr>
            <w:tcW w:w="3040" w:type="dxa"/>
            <w:shd w:val="clear" w:color="auto" w:fill="auto"/>
          </w:tcPr>
          <w:p>
            <w:pPr>
              <w:jc w:val="center"/>
              <w:rPr>
                <w:rFonts w:ascii="Arial" w:hAnsi="Arial" w:cs="Arial"/>
                <w:sz w:val="20"/>
                <w:szCs w:val="20"/>
              </w:rPr>
            </w:pPr>
            <w:r>
              <w:rPr>
                <w:rFonts w:hint="eastAsia" w:ascii="Arial" w:hAnsi="Arial" w:cs="Arial"/>
                <w:b/>
                <w:sz w:val="20"/>
                <w:szCs w:val="20"/>
              </w:rPr>
              <w:t>25-48 Months &lt; 18-24 Months</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shd w:val="clear" w:color="auto" w:fill="auto"/>
          </w:tcPr>
          <w:p>
            <w:pPr>
              <w:widowControl/>
              <w:jc w:val="center"/>
              <w:rPr>
                <w:rFonts w:ascii="Arial" w:hAnsi="Arial" w:cs="Arial"/>
                <w:sz w:val="20"/>
                <w:szCs w:val="20"/>
              </w:rPr>
            </w:pPr>
            <w:r>
              <w:rPr>
                <w:rFonts w:hint="eastAsia" w:ascii="Arial" w:hAnsi="Arial" w:cs="Arial"/>
                <w:sz w:val="20"/>
                <w:szCs w:val="20"/>
              </w:rPr>
              <w:t>L.Thal</w:t>
            </w:r>
          </w:p>
        </w:tc>
        <w:tc>
          <w:tcPr>
            <w:tcW w:w="3050" w:type="dxa"/>
            <w:shd w:val="clear" w:color="auto" w:fill="auto"/>
          </w:tcPr>
          <w:p>
            <w:pPr>
              <w:jc w:val="center"/>
              <w:rPr>
                <w:rFonts w:ascii="Arial" w:hAnsi="Arial" w:cs="Arial"/>
                <w:sz w:val="20"/>
                <w:szCs w:val="20"/>
              </w:rPr>
            </w:pPr>
            <w:r>
              <w:rPr>
                <w:rFonts w:hint="eastAsia" w:ascii="Arial" w:hAnsi="Arial" w:cs="Arial"/>
                <w:sz w:val="20"/>
                <w:szCs w:val="20"/>
              </w:rPr>
              <w:t>—</w:t>
            </w:r>
          </w:p>
        </w:tc>
        <w:tc>
          <w:tcPr>
            <w:tcW w:w="3040" w:type="dxa"/>
            <w:shd w:val="clear" w:color="auto" w:fill="auto"/>
          </w:tcPr>
          <w:p>
            <w:pPr>
              <w:jc w:val="center"/>
              <w:rPr>
                <w:rFonts w:ascii="Arial" w:hAnsi="Arial" w:cs="Arial"/>
                <w:sz w:val="20"/>
                <w:szCs w:val="20"/>
              </w:rPr>
            </w:pPr>
            <w:r>
              <w:rPr>
                <w:rFonts w:hint="eastAsia" w:ascii="Arial" w:hAnsi="Arial" w:cs="Arial"/>
                <w:sz w:val="20"/>
                <w:szCs w:val="20"/>
              </w:rPr>
              <w:t>R.Thal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shd w:val="clear" w:color="auto" w:fill="auto"/>
          </w:tcPr>
          <w:p>
            <w:pPr>
              <w:widowControl/>
              <w:rPr>
                <w:rFonts w:ascii="Arial" w:hAnsi="Arial" w:cs="Arial"/>
                <w:b/>
                <w:bCs/>
                <w:sz w:val="20"/>
                <w:szCs w:val="20"/>
              </w:rPr>
            </w:pPr>
            <w:r>
              <w:rPr>
                <w:rFonts w:hint="eastAsia" w:ascii="Arial" w:hAnsi="Arial" w:cs="Arial"/>
                <w:b/>
                <w:bCs/>
                <w:sz w:val="20"/>
                <w:szCs w:val="20"/>
              </w:rPr>
              <w:t>TDC</w:t>
            </w:r>
          </w:p>
          <w:p>
            <w:pPr>
              <w:widowControl/>
              <w:rPr>
                <w:rFonts w:ascii="Arial" w:hAnsi="Arial" w:cs="Arial"/>
                <w:sz w:val="20"/>
                <w:szCs w:val="20"/>
              </w:rPr>
            </w:pPr>
            <w:r>
              <w:rPr>
                <w:rFonts w:hint="eastAsia" w:ascii="Arial" w:hAnsi="Arial" w:cs="Arial"/>
                <w:sz w:val="20"/>
                <w:szCs w:val="20"/>
              </w:rPr>
              <w:t>Interoceptive-self</w:t>
            </w:r>
          </w:p>
        </w:tc>
        <w:tc>
          <w:tcPr>
            <w:tcW w:w="3050" w:type="dxa"/>
            <w:shd w:val="clear" w:color="auto" w:fill="auto"/>
          </w:tcPr>
          <w:p>
            <w:pPr>
              <w:jc w:val="center"/>
              <w:rPr>
                <w:rFonts w:ascii="Arial" w:hAnsi="Arial" w:cs="Arial"/>
                <w:sz w:val="20"/>
                <w:szCs w:val="20"/>
              </w:rPr>
            </w:pPr>
          </w:p>
        </w:tc>
        <w:tc>
          <w:tcPr>
            <w:tcW w:w="3040" w:type="dxa"/>
            <w:shd w:val="clear" w:color="auto" w:fill="auto"/>
          </w:tcPr>
          <w:p>
            <w:pPr>
              <w:jc w:val="center"/>
              <w:rPr>
                <w:rFonts w:ascii="Arial" w:hAnsi="Arial" w:cs="Arial"/>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shd w:val="clear" w:color="auto" w:fill="auto"/>
          </w:tcPr>
          <w:p>
            <w:pPr>
              <w:widowControl/>
              <w:jc w:val="center"/>
              <w:rPr>
                <w:rFonts w:ascii="Arial" w:hAnsi="Arial" w:cs="Arial"/>
                <w:sz w:val="20"/>
                <w:szCs w:val="20"/>
              </w:rPr>
            </w:pPr>
            <w:r>
              <w:rPr>
                <w:rFonts w:hint="eastAsia" w:ascii="Arial" w:hAnsi="Arial" w:cs="Arial"/>
                <w:sz w:val="20"/>
                <w:szCs w:val="20"/>
              </w:rPr>
              <w:t>L.Insula</w:t>
            </w:r>
          </w:p>
        </w:tc>
        <w:tc>
          <w:tcPr>
            <w:tcW w:w="3050" w:type="dxa"/>
            <w:shd w:val="clear" w:color="auto" w:fill="auto"/>
          </w:tcPr>
          <w:p>
            <w:pPr>
              <w:jc w:val="center"/>
              <w:rPr>
                <w:rFonts w:ascii="Arial" w:hAnsi="Arial" w:cs="Arial"/>
                <w:sz w:val="20"/>
                <w:szCs w:val="20"/>
              </w:rPr>
            </w:pPr>
            <w:r>
              <w:rPr>
                <w:rFonts w:hint="eastAsia" w:ascii="Arial" w:hAnsi="Arial" w:cs="Arial"/>
                <w:sz w:val="20"/>
                <w:szCs w:val="20"/>
              </w:rPr>
              <w:t>—</w:t>
            </w:r>
          </w:p>
        </w:tc>
        <w:tc>
          <w:tcPr>
            <w:tcW w:w="3040" w:type="dxa"/>
            <w:shd w:val="clear" w:color="auto" w:fill="auto"/>
          </w:tcPr>
          <w:p>
            <w:pPr>
              <w:jc w:val="center"/>
              <w:rPr>
                <w:rFonts w:ascii="Arial" w:hAnsi="Arial" w:cs="Arial"/>
                <w:sz w:val="20"/>
                <w:szCs w:val="20"/>
              </w:rPr>
            </w:pPr>
            <w:r>
              <w:rPr>
                <w:rFonts w:hint="eastAsia" w:ascii="Arial" w:hAnsi="Arial" w:cs="Arial"/>
                <w:sz w:val="20"/>
                <w:szCs w:val="20"/>
              </w:rPr>
              <w:t>L.TPJ</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shd w:val="clear" w:color="auto" w:fill="auto"/>
          </w:tcPr>
          <w:p>
            <w:pPr>
              <w:widowControl/>
              <w:jc w:val="left"/>
              <w:rPr>
                <w:rFonts w:ascii="Arial" w:hAnsi="Arial" w:cs="Arial"/>
                <w:sz w:val="20"/>
                <w:szCs w:val="20"/>
              </w:rPr>
            </w:pPr>
            <w:r>
              <w:rPr>
                <w:rFonts w:hint="eastAsia" w:ascii="Arial" w:hAnsi="Arial" w:cs="Arial"/>
                <w:sz w:val="20"/>
                <w:szCs w:val="20"/>
              </w:rPr>
              <w:t>Mental-self</w:t>
            </w:r>
          </w:p>
        </w:tc>
        <w:tc>
          <w:tcPr>
            <w:tcW w:w="3050" w:type="dxa"/>
            <w:shd w:val="clear" w:color="auto" w:fill="auto"/>
          </w:tcPr>
          <w:p>
            <w:pPr>
              <w:jc w:val="center"/>
              <w:rPr>
                <w:rFonts w:ascii="Arial" w:hAnsi="Arial" w:cs="Arial"/>
                <w:sz w:val="20"/>
                <w:szCs w:val="20"/>
              </w:rPr>
            </w:pPr>
          </w:p>
        </w:tc>
        <w:tc>
          <w:tcPr>
            <w:tcW w:w="3040" w:type="dxa"/>
            <w:shd w:val="clear" w:color="auto" w:fill="auto"/>
          </w:tcPr>
          <w:p>
            <w:pPr>
              <w:jc w:val="center"/>
              <w:rPr>
                <w:rFonts w:ascii="Arial" w:hAnsi="Arial" w:cs="Arial"/>
                <w:sz w:val="20"/>
                <w:szCs w:val="20"/>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99" w:type="dxa"/>
            <w:shd w:val="clear" w:color="auto" w:fill="auto"/>
          </w:tcPr>
          <w:p>
            <w:pPr>
              <w:widowControl/>
              <w:jc w:val="center"/>
              <w:rPr>
                <w:rFonts w:ascii="Arial" w:hAnsi="Arial" w:cs="Arial"/>
                <w:sz w:val="20"/>
                <w:szCs w:val="20"/>
              </w:rPr>
            </w:pPr>
            <w:r>
              <w:rPr>
                <w:rFonts w:hint="eastAsia" w:ascii="Arial" w:hAnsi="Arial" w:cs="Arial"/>
                <w:sz w:val="20"/>
                <w:szCs w:val="20"/>
              </w:rPr>
              <w:t>R.ACC</w:t>
            </w:r>
          </w:p>
        </w:tc>
        <w:tc>
          <w:tcPr>
            <w:tcW w:w="3050" w:type="dxa"/>
            <w:shd w:val="clear" w:color="auto" w:fill="auto"/>
          </w:tcPr>
          <w:p>
            <w:pPr>
              <w:jc w:val="center"/>
              <w:rPr>
                <w:rFonts w:ascii="Arial" w:hAnsi="Arial" w:cs="Arial"/>
                <w:sz w:val="20"/>
                <w:szCs w:val="20"/>
              </w:rPr>
            </w:pPr>
            <w:r>
              <w:rPr>
                <w:rFonts w:hint="eastAsia" w:ascii="Arial" w:hAnsi="Arial" w:cs="Arial"/>
                <w:sz w:val="20"/>
                <w:szCs w:val="20"/>
              </w:rPr>
              <w:t>—</w:t>
            </w:r>
          </w:p>
        </w:tc>
        <w:tc>
          <w:tcPr>
            <w:tcW w:w="3040" w:type="dxa"/>
            <w:shd w:val="clear" w:color="auto" w:fill="auto"/>
          </w:tcPr>
          <w:p>
            <w:pPr>
              <w:jc w:val="center"/>
              <w:rPr>
                <w:rFonts w:ascii="Arial" w:hAnsi="Arial" w:cs="Arial"/>
                <w:sz w:val="20"/>
                <w:szCs w:val="20"/>
              </w:rPr>
            </w:pPr>
            <w:r>
              <w:rPr>
                <w:rFonts w:hint="eastAsia" w:ascii="Arial" w:hAnsi="Arial" w:cs="Arial"/>
                <w:sz w:val="20"/>
                <w:szCs w:val="20"/>
              </w:rPr>
              <w:t>L.PCC</w:t>
            </w:r>
          </w:p>
        </w:tc>
      </w:tr>
    </w:tbl>
    <w:p>
      <w:pPr>
        <w:widowControl/>
        <w:spacing w:before="240" w:after="60"/>
        <w:jc w:val="left"/>
        <w:rPr>
          <w:rFonts w:ascii="Arial" w:hAnsi="Arial" w:cs="Arial"/>
          <w:color w:val="000000"/>
          <w:sz w:val="20"/>
          <w:szCs w:val="20"/>
        </w:rPr>
      </w:pPr>
      <w:r>
        <w:rPr>
          <w:rFonts w:ascii="Arial" w:hAnsi="Arial" w:cs="Arial"/>
          <w:color w:val="000000"/>
          <w:sz w:val="20"/>
          <w:szCs w:val="20"/>
        </w:rPr>
        <w:t>L.</w:t>
      </w:r>
      <w:r>
        <w:rPr>
          <w:rFonts w:hint="eastAsia" w:ascii="Arial" w:hAnsi="Arial" w:cs="Arial"/>
          <w:color w:val="000000"/>
          <w:sz w:val="20"/>
          <w:szCs w:val="20"/>
        </w:rPr>
        <w:t>means left hemisphere; R.means right hemispher; a</w:t>
      </w:r>
      <w:r>
        <w:rPr>
          <w:rFonts w:ascii="Arial" w:hAnsi="Arial" w:cs="Arial"/>
          <w:color w:val="000000"/>
          <w:sz w:val="20"/>
          <w:szCs w:val="20"/>
        </w:rPr>
        <w:t>bbreviations</w:t>
      </w:r>
      <w:r>
        <w:rPr>
          <w:rFonts w:hint="eastAsia" w:ascii="Arial" w:hAnsi="Arial" w:cs="Arial"/>
          <w:color w:val="000000"/>
          <w:sz w:val="20"/>
          <w:szCs w:val="20"/>
        </w:rPr>
        <w:t xml:space="preserve"> of</w:t>
      </w:r>
      <w:r>
        <w:rPr>
          <w:rFonts w:ascii="Arial" w:hAnsi="Arial" w:cs="Arial"/>
          <w:color w:val="000000"/>
          <w:sz w:val="20"/>
          <w:szCs w:val="20"/>
        </w:rPr>
        <w:t xml:space="preserve"> </w:t>
      </w:r>
      <w:r>
        <w:rPr>
          <w:rFonts w:hint="eastAsia" w:ascii="Arial" w:hAnsi="Arial" w:cs="Arial"/>
          <w:color w:val="000000"/>
          <w:sz w:val="20"/>
          <w:szCs w:val="20"/>
        </w:rPr>
        <w:t xml:space="preserve">the brain regions: Thla: </w:t>
      </w:r>
      <w:r>
        <w:rPr>
          <w:rFonts w:ascii="Arial" w:hAnsi="Arial" w:cs="Arial"/>
          <w:color w:val="000000"/>
          <w:sz w:val="20"/>
          <w:szCs w:val="20"/>
        </w:rPr>
        <w:t>thalamus</w:t>
      </w:r>
      <w:r>
        <w:rPr>
          <w:rFonts w:hint="eastAsia" w:ascii="Arial" w:hAnsi="Arial" w:cs="Arial"/>
          <w:color w:val="000000"/>
          <w:sz w:val="20"/>
          <w:szCs w:val="20"/>
        </w:rPr>
        <w:t xml:space="preserve">; INS: Insula; TPJ: </w:t>
      </w:r>
      <w:r>
        <w:rPr>
          <w:rFonts w:ascii="Arial" w:hAnsi="Arial" w:cs="Arial"/>
          <w:color w:val="000000"/>
          <w:sz w:val="20"/>
          <w:szCs w:val="20"/>
        </w:rPr>
        <w:t>temporo-parietal junction</w:t>
      </w:r>
      <w:r>
        <w:rPr>
          <w:rFonts w:hint="eastAsia" w:ascii="Arial" w:hAnsi="Arial" w:cs="Arial"/>
          <w:color w:val="000000"/>
          <w:sz w:val="20"/>
          <w:szCs w:val="20"/>
        </w:rPr>
        <w:t xml:space="preserve">; ACC: </w:t>
      </w:r>
      <w:r>
        <w:rPr>
          <w:rFonts w:ascii="Arial" w:hAnsi="Arial" w:cs="Arial"/>
          <w:color w:val="000000"/>
          <w:sz w:val="20"/>
          <w:szCs w:val="20"/>
        </w:rPr>
        <w:t xml:space="preserve">anterior cingulate </w:t>
      </w:r>
      <w:r>
        <w:rPr>
          <w:rFonts w:ascii="Arial" w:hAnsi="Arial" w:cs="Arial" w:eastAsiaTheme="minorHAnsi"/>
          <w:color w:val="000000"/>
          <w:sz w:val="20"/>
          <w:szCs w:val="20"/>
        </w:rPr>
        <w:t>cortex</w:t>
      </w:r>
      <w:r>
        <w:rPr>
          <w:rFonts w:hint="eastAsia" w:ascii="Arial" w:hAnsi="Arial" w:cs="Arial"/>
          <w:color w:val="000000"/>
          <w:sz w:val="20"/>
          <w:szCs w:val="20"/>
        </w:rPr>
        <w:t xml:space="preserve">; PCC: </w:t>
      </w:r>
      <w:r>
        <w:rPr>
          <w:rFonts w:ascii="Arial" w:hAnsi="Arial" w:cs="Arial"/>
          <w:color w:val="000000"/>
          <w:sz w:val="20"/>
          <w:szCs w:val="20"/>
        </w:rPr>
        <w:t>posterior cingulate</w:t>
      </w:r>
      <w:r>
        <w:rPr>
          <w:rFonts w:ascii="Arial" w:hAnsi="Arial" w:cs="Arial" w:eastAsiaTheme="minorHAnsi"/>
          <w:color w:val="000000"/>
          <w:sz w:val="20"/>
          <w:szCs w:val="20"/>
        </w:rPr>
        <w:t xml:space="preserve"> cortex</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xNWY2ZjY4ZDM3OWJlYmJiNWFkNzRmMGExNzMxZjkifQ=="/>
  </w:docVars>
  <w:rsids>
    <w:rsidRoot w:val="59E807A2"/>
    <w:rsid w:val="00087FC3"/>
    <w:rsid w:val="000A4AE5"/>
    <w:rsid w:val="000B671B"/>
    <w:rsid w:val="0013018D"/>
    <w:rsid w:val="001770EB"/>
    <w:rsid w:val="001A2FCD"/>
    <w:rsid w:val="001F0D23"/>
    <w:rsid w:val="00257D1C"/>
    <w:rsid w:val="002E0A28"/>
    <w:rsid w:val="002E7FC1"/>
    <w:rsid w:val="0032481C"/>
    <w:rsid w:val="003849DE"/>
    <w:rsid w:val="003F58A8"/>
    <w:rsid w:val="00430EA7"/>
    <w:rsid w:val="00443A4C"/>
    <w:rsid w:val="0047138D"/>
    <w:rsid w:val="004A1BC5"/>
    <w:rsid w:val="004B15D1"/>
    <w:rsid w:val="004F16BE"/>
    <w:rsid w:val="00533B64"/>
    <w:rsid w:val="005A0453"/>
    <w:rsid w:val="005A24F8"/>
    <w:rsid w:val="005E4BB2"/>
    <w:rsid w:val="00630DA6"/>
    <w:rsid w:val="006933C5"/>
    <w:rsid w:val="006B0EC2"/>
    <w:rsid w:val="007D1314"/>
    <w:rsid w:val="007D2F3C"/>
    <w:rsid w:val="0086339E"/>
    <w:rsid w:val="008E503B"/>
    <w:rsid w:val="00910115"/>
    <w:rsid w:val="00930E8A"/>
    <w:rsid w:val="009657A2"/>
    <w:rsid w:val="009900F2"/>
    <w:rsid w:val="00A11700"/>
    <w:rsid w:val="00A67D60"/>
    <w:rsid w:val="00A766D4"/>
    <w:rsid w:val="00A91907"/>
    <w:rsid w:val="00AC3171"/>
    <w:rsid w:val="00AE3D4B"/>
    <w:rsid w:val="00CB75AF"/>
    <w:rsid w:val="00CF75B4"/>
    <w:rsid w:val="00D1119D"/>
    <w:rsid w:val="00D36469"/>
    <w:rsid w:val="00D64B84"/>
    <w:rsid w:val="00D85327"/>
    <w:rsid w:val="00DB4A5A"/>
    <w:rsid w:val="00DC650D"/>
    <w:rsid w:val="00DD47F5"/>
    <w:rsid w:val="00E32D0E"/>
    <w:rsid w:val="00E7173E"/>
    <w:rsid w:val="00E73804"/>
    <w:rsid w:val="00E74F8A"/>
    <w:rsid w:val="00F33E45"/>
    <w:rsid w:val="00F671B3"/>
    <w:rsid w:val="00F96F6F"/>
    <w:rsid w:val="00FF60A0"/>
    <w:rsid w:val="037556CC"/>
    <w:rsid w:val="03D42E2E"/>
    <w:rsid w:val="03FD4132"/>
    <w:rsid w:val="04025BED"/>
    <w:rsid w:val="056A3A4A"/>
    <w:rsid w:val="06DD0A4A"/>
    <w:rsid w:val="06FC2DC7"/>
    <w:rsid w:val="0ADD2F10"/>
    <w:rsid w:val="0BA31A63"/>
    <w:rsid w:val="0BF950D2"/>
    <w:rsid w:val="108556AB"/>
    <w:rsid w:val="11E23894"/>
    <w:rsid w:val="13223BB5"/>
    <w:rsid w:val="14AF5803"/>
    <w:rsid w:val="1635541A"/>
    <w:rsid w:val="16BF796D"/>
    <w:rsid w:val="1D230C56"/>
    <w:rsid w:val="1D506D2A"/>
    <w:rsid w:val="1F1243AE"/>
    <w:rsid w:val="21F7445F"/>
    <w:rsid w:val="226D64CF"/>
    <w:rsid w:val="231F3C6E"/>
    <w:rsid w:val="236475A7"/>
    <w:rsid w:val="27227F66"/>
    <w:rsid w:val="28B2646E"/>
    <w:rsid w:val="293D309F"/>
    <w:rsid w:val="29D904A6"/>
    <w:rsid w:val="2CC43B2A"/>
    <w:rsid w:val="2E3600BD"/>
    <w:rsid w:val="2EC948D2"/>
    <w:rsid w:val="30134B5A"/>
    <w:rsid w:val="3234700A"/>
    <w:rsid w:val="33DE722D"/>
    <w:rsid w:val="33E844DB"/>
    <w:rsid w:val="393B4D50"/>
    <w:rsid w:val="3B1C187E"/>
    <w:rsid w:val="3D4E71D1"/>
    <w:rsid w:val="3DE658A7"/>
    <w:rsid w:val="3E1D0952"/>
    <w:rsid w:val="3E1D413D"/>
    <w:rsid w:val="3F9F1F66"/>
    <w:rsid w:val="3FAE75BD"/>
    <w:rsid w:val="42E12896"/>
    <w:rsid w:val="4A1C5F7A"/>
    <w:rsid w:val="4B9409EC"/>
    <w:rsid w:val="4E142372"/>
    <w:rsid w:val="50211597"/>
    <w:rsid w:val="56B31315"/>
    <w:rsid w:val="59E807A2"/>
    <w:rsid w:val="5BE10DB9"/>
    <w:rsid w:val="5FB50DB5"/>
    <w:rsid w:val="628472D5"/>
    <w:rsid w:val="635B76A3"/>
    <w:rsid w:val="64D13C09"/>
    <w:rsid w:val="6B32518D"/>
    <w:rsid w:val="704C4F43"/>
    <w:rsid w:val="7DA261A2"/>
    <w:rsid w:val="7FDC5C5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6">
    <w:name w:val="annotation reference"/>
    <w:basedOn w:val="5"/>
    <w:autoRedefine/>
    <w:qFormat/>
    <w:uiPriority w:val="99"/>
    <w:rPr>
      <w:sz w:val="16"/>
      <w:szCs w:val="16"/>
    </w:rPr>
  </w:style>
  <w:style w:type="table" w:customStyle="1" w:styleId="7">
    <w:name w:val="我的三线表"/>
    <w:basedOn w:val="4"/>
    <w:autoRedefine/>
    <w:qFormat/>
    <w:uiPriority w:val="99"/>
    <w:tblPr>
      <w:tblBorders>
        <w:top w:val="single" w:color="auto" w:sz="12" w:space="0"/>
        <w:bottom w:val="single" w:color="auto" w:sz="12" w:space="0"/>
      </w:tblBorders>
    </w:tblPr>
    <w:tblStylePr w:type="firstRow">
      <w:pPr>
        <w:wordWrap/>
        <w:spacing w:line="360" w:lineRule="exact"/>
        <w:jc w:val="center"/>
      </w:pPr>
      <w:tcPr>
        <w:tcBorders>
          <w:top w:val="single" w:color="auto" w:sz="12" w:space="0"/>
          <w:left w:val="nil"/>
          <w:bottom w:val="single" w:color="auto" w:sz="6" w:space="0"/>
          <w:right w:val="nil"/>
          <w:insideH w:val="nil"/>
          <w:insideV w:val="nil"/>
          <w:tl2br w:val="nil"/>
          <w:tr2bl w:val="nil"/>
        </w:tcBorders>
      </w:tcPr>
    </w:tblStylePr>
  </w:style>
  <w:style w:type="character" w:customStyle="1" w:styleId="8">
    <w:name w:val="页眉 字符"/>
    <w:basedOn w:val="5"/>
    <w:link w:val="3"/>
    <w:uiPriority w:val="0"/>
    <w:rPr>
      <w:rFonts w:ascii="Calibri" w:hAnsi="Calibri"/>
      <w:kern w:val="2"/>
      <w:sz w:val="18"/>
      <w:szCs w:val="18"/>
    </w:rPr>
  </w:style>
  <w:style w:type="character" w:customStyle="1" w:styleId="9">
    <w:name w:val="页脚 字符"/>
    <w:basedOn w:val="5"/>
    <w:link w:val="2"/>
    <w:uiPriority w:val="0"/>
    <w:rPr>
      <w:rFonts w:ascii="Calibri" w:hAnsi="Calibri"/>
      <w:kern w:val="2"/>
      <w:sz w:val="18"/>
      <w:szCs w:val="18"/>
    </w:rPr>
  </w:style>
  <w:style w:type="paragraph" w:styleId="10">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442</Words>
  <Characters>2520</Characters>
  <Lines>21</Lines>
  <Paragraphs>5</Paragraphs>
  <TotalTime>0</TotalTime>
  <ScaleCrop>false</ScaleCrop>
  <LinksUpToDate>false</LinksUpToDate>
  <CharactersWithSpaces>2957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2023-11-21T17:54:00Z</dcterms:created>
  <dc:creator>周力伟</dc:creator>
  <cp:lastModifiedBy>encounter myself</cp:lastModifiedBy>
  <dcterms:modified xsi:type="dcterms:W3CDTF">2024-04-22T02:54:41Z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C8838C251ABC4128834BD62F572F6BF1_13</vt:lpwstr>
  </property>
</Properties>
</file>