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A4C" w14:textId="0DCA2B02" w:rsidR="00291D8A" w:rsidRPr="00415046" w:rsidRDefault="006F4E37" w:rsidP="007E2130">
      <w:pPr>
        <w:spacing w:line="240" w:lineRule="auto"/>
        <w:rPr>
          <w:rFonts w:ascii="Times New Roman" w:hAnsi="Times New Roman" w:cs="Times New Roman"/>
          <w:b/>
        </w:rPr>
      </w:pPr>
      <w:r w:rsidRPr="00415046">
        <w:rPr>
          <w:rFonts w:ascii="Times New Roman" w:hAnsi="Times New Roman" w:cs="Times New Roman"/>
          <w:b/>
        </w:rPr>
        <w:t>Supplementary Information</w:t>
      </w:r>
      <w:r w:rsidR="00852FCA" w:rsidRPr="00415046">
        <w:rPr>
          <w:rFonts w:ascii="Times New Roman" w:hAnsi="Times New Roman" w:cs="Times New Roman"/>
          <w:b/>
        </w:rPr>
        <w:t xml:space="preserve">: </w:t>
      </w:r>
      <w:r w:rsidR="00291D8A" w:rsidRPr="00415046">
        <w:rPr>
          <w:rFonts w:ascii="Times New Roman" w:hAnsi="Times New Roman" w:cs="Times New Roman"/>
          <w:b/>
        </w:rPr>
        <w:t>Hydrogen Storage Materials Could Hit Requirements for GW-Scale Seasonal Storage and Green Steel</w:t>
      </w:r>
    </w:p>
    <w:p w14:paraId="599675C9" w14:textId="77777777" w:rsidR="00291D8A" w:rsidRPr="00415046" w:rsidRDefault="00291D8A" w:rsidP="007E2130">
      <w:pPr>
        <w:spacing w:line="240" w:lineRule="auto"/>
        <w:rPr>
          <w:rFonts w:ascii="Times New Roman" w:hAnsi="Times New Roman" w:cs="Times New Roman"/>
        </w:rPr>
      </w:pPr>
    </w:p>
    <w:p w14:paraId="15AEA9F6" w14:textId="58A9E356" w:rsidR="00291D8A" w:rsidRPr="00415046" w:rsidRDefault="00291D8A" w:rsidP="007E2130">
      <w:pPr>
        <w:spacing w:line="240" w:lineRule="auto"/>
        <w:rPr>
          <w:rFonts w:ascii="Times New Roman" w:hAnsi="Times New Roman" w:cs="Times New Roman"/>
          <w:vertAlign w:val="superscript"/>
        </w:rPr>
      </w:pPr>
      <w:r w:rsidRPr="00415046">
        <w:rPr>
          <w:rFonts w:ascii="Times New Roman" w:hAnsi="Times New Roman" w:cs="Times New Roman"/>
        </w:rPr>
        <w:t>Hanna Breunig</w:t>
      </w:r>
      <w:r w:rsidRPr="00415046">
        <w:rPr>
          <w:rFonts w:ascii="Times New Roman" w:hAnsi="Times New Roman" w:cs="Times New Roman"/>
          <w:vertAlign w:val="superscript"/>
        </w:rPr>
        <w:t>*1</w:t>
      </w:r>
      <w:r w:rsidRPr="00415046">
        <w:rPr>
          <w:rFonts w:ascii="Times New Roman" w:hAnsi="Times New Roman" w:cs="Times New Roman"/>
        </w:rPr>
        <w:t>, Fabian Rosner</w:t>
      </w:r>
      <w:r w:rsidRPr="00415046">
        <w:rPr>
          <w:rFonts w:ascii="Times New Roman" w:hAnsi="Times New Roman" w:cs="Times New Roman"/>
          <w:vertAlign w:val="superscript"/>
        </w:rPr>
        <w:t>**1</w:t>
      </w:r>
      <w:r w:rsidRPr="00415046">
        <w:rPr>
          <w:rFonts w:ascii="Times New Roman" w:hAnsi="Times New Roman" w:cs="Times New Roman"/>
        </w:rPr>
        <w:t>, Syed Saqline</w:t>
      </w:r>
      <w:r w:rsidRPr="00415046">
        <w:rPr>
          <w:rFonts w:ascii="Times New Roman" w:hAnsi="Times New Roman" w:cs="Times New Roman"/>
          <w:vertAlign w:val="superscript"/>
        </w:rPr>
        <w:t>1</w:t>
      </w:r>
      <w:r w:rsidRPr="00415046">
        <w:rPr>
          <w:rFonts w:ascii="Times New Roman" w:hAnsi="Times New Roman" w:cs="Times New Roman"/>
        </w:rPr>
        <w:t xml:space="preserve">, </w:t>
      </w:r>
      <w:proofErr w:type="spellStart"/>
      <w:r w:rsidRPr="00415046">
        <w:rPr>
          <w:rFonts w:ascii="Times New Roman" w:hAnsi="Times New Roman" w:cs="Times New Roman"/>
        </w:rPr>
        <w:t>D</w:t>
      </w:r>
      <w:r w:rsidR="00161CD7" w:rsidRPr="00415046">
        <w:rPr>
          <w:rFonts w:ascii="Times New Roman" w:hAnsi="Times New Roman" w:cs="Times New Roman"/>
        </w:rPr>
        <w:t>ionissius</w:t>
      </w:r>
      <w:proofErr w:type="spellEnd"/>
      <w:r w:rsidRPr="00415046">
        <w:rPr>
          <w:rFonts w:ascii="Times New Roman" w:hAnsi="Times New Roman" w:cs="Times New Roman"/>
        </w:rPr>
        <w:t xml:space="preserve"> Papdias</w:t>
      </w:r>
      <w:r w:rsidRPr="00415046">
        <w:rPr>
          <w:rFonts w:ascii="Times New Roman" w:hAnsi="Times New Roman" w:cs="Times New Roman"/>
          <w:vertAlign w:val="superscript"/>
        </w:rPr>
        <w:t>2</w:t>
      </w:r>
      <w:r w:rsidRPr="00415046">
        <w:rPr>
          <w:rFonts w:ascii="Times New Roman" w:hAnsi="Times New Roman" w:cs="Times New Roman"/>
        </w:rPr>
        <w:t xml:space="preserve">, </w:t>
      </w:r>
      <w:proofErr w:type="spellStart"/>
      <w:r w:rsidRPr="00415046">
        <w:rPr>
          <w:rFonts w:ascii="Times New Roman" w:hAnsi="Times New Roman" w:cs="Times New Roman"/>
        </w:rPr>
        <w:t>Eleyna</w:t>
      </w:r>
      <w:proofErr w:type="spellEnd"/>
      <w:r w:rsidRPr="00415046">
        <w:rPr>
          <w:rFonts w:ascii="Times New Roman" w:hAnsi="Times New Roman" w:cs="Times New Roman"/>
        </w:rPr>
        <w:t xml:space="preserve"> Grant</w:t>
      </w:r>
      <w:r w:rsidRPr="00415046">
        <w:rPr>
          <w:rFonts w:ascii="Times New Roman" w:hAnsi="Times New Roman" w:cs="Times New Roman"/>
          <w:vertAlign w:val="superscript"/>
        </w:rPr>
        <w:t>3</w:t>
      </w:r>
      <w:r w:rsidRPr="00415046">
        <w:rPr>
          <w:rFonts w:ascii="Times New Roman" w:hAnsi="Times New Roman" w:cs="Times New Roman"/>
        </w:rPr>
        <w:t xml:space="preserve">, </w:t>
      </w:r>
      <w:proofErr w:type="spellStart"/>
      <w:r w:rsidRPr="00415046">
        <w:rPr>
          <w:rFonts w:ascii="Times New Roman" w:hAnsi="Times New Roman" w:cs="Times New Roman"/>
        </w:rPr>
        <w:t>Kriston</w:t>
      </w:r>
      <w:proofErr w:type="spellEnd"/>
      <w:r w:rsidRPr="00415046">
        <w:rPr>
          <w:rFonts w:ascii="Times New Roman" w:hAnsi="Times New Roman" w:cs="Times New Roman"/>
        </w:rPr>
        <w:t xml:space="preserve"> Brooks</w:t>
      </w:r>
      <w:r w:rsidRPr="00415046">
        <w:rPr>
          <w:rFonts w:ascii="Times New Roman" w:hAnsi="Times New Roman" w:cs="Times New Roman"/>
          <w:vertAlign w:val="superscript"/>
        </w:rPr>
        <w:t>4</w:t>
      </w:r>
      <w:r w:rsidRPr="00415046">
        <w:rPr>
          <w:rFonts w:ascii="Times New Roman" w:hAnsi="Times New Roman" w:cs="Times New Roman"/>
        </w:rPr>
        <w:t>, Thomas Autrey</w:t>
      </w:r>
      <w:r w:rsidRPr="00415046">
        <w:rPr>
          <w:rFonts w:ascii="Times New Roman" w:hAnsi="Times New Roman" w:cs="Times New Roman"/>
          <w:vertAlign w:val="superscript"/>
        </w:rPr>
        <w:t>4</w:t>
      </w:r>
      <w:r w:rsidRPr="00415046">
        <w:rPr>
          <w:rFonts w:ascii="Times New Roman" w:hAnsi="Times New Roman" w:cs="Times New Roman"/>
        </w:rPr>
        <w:t>, Rajesh Ahluwalia</w:t>
      </w:r>
      <w:r w:rsidRPr="00415046">
        <w:rPr>
          <w:rFonts w:ascii="Times New Roman" w:hAnsi="Times New Roman" w:cs="Times New Roman"/>
          <w:vertAlign w:val="superscript"/>
        </w:rPr>
        <w:t>2</w:t>
      </w:r>
      <w:r w:rsidRPr="00415046">
        <w:rPr>
          <w:rFonts w:ascii="Times New Roman" w:hAnsi="Times New Roman" w:cs="Times New Roman"/>
        </w:rPr>
        <w:t>, Jennifer King</w:t>
      </w:r>
      <w:r w:rsidRPr="00415046">
        <w:rPr>
          <w:rFonts w:ascii="Times New Roman" w:hAnsi="Times New Roman" w:cs="Times New Roman"/>
          <w:vertAlign w:val="superscript"/>
        </w:rPr>
        <w:t>3</w:t>
      </w:r>
      <w:r w:rsidRPr="00415046">
        <w:rPr>
          <w:rFonts w:ascii="Times New Roman" w:hAnsi="Times New Roman" w:cs="Times New Roman"/>
        </w:rPr>
        <w:t>, Steve Hammond</w:t>
      </w:r>
      <w:r w:rsidRPr="00415046">
        <w:rPr>
          <w:rFonts w:ascii="Times New Roman" w:hAnsi="Times New Roman" w:cs="Times New Roman"/>
          <w:vertAlign w:val="superscript"/>
        </w:rPr>
        <w:t>3</w:t>
      </w:r>
    </w:p>
    <w:p w14:paraId="08833476" w14:textId="77777777" w:rsidR="00BF24D9" w:rsidRPr="00415046" w:rsidRDefault="00BF24D9" w:rsidP="007E2130">
      <w:pPr>
        <w:spacing w:line="240" w:lineRule="auto"/>
        <w:rPr>
          <w:rFonts w:ascii="Times New Roman" w:hAnsi="Times New Roman" w:cs="Times New Roman"/>
        </w:rPr>
      </w:pPr>
    </w:p>
    <w:p w14:paraId="6902DF4B" w14:textId="05810C3C"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1</w:t>
      </w:r>
      <w:r w:rsidRPr="00415046">
        <w:rPr>
          <w:rFonts w:ascii="Times New Roman" w:hAnsi="Times New Roman" w:cs="Times New Roman"/>
        </w:rPr>
        <w:t>Lawrence Berkeley National Laboratory, Berkeley, CA 94720, United States</w:t>
      </w:r>
    </w:p>
    <w:p w14:paraId="7A1004CC" w14:textId="42BF0FAC"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2</w:t>
      </w:r>
      <w:bookmarkStart w:id="0" w:name="_Hlk163633516"/>
      <w:r w:rsidRPr="00415046">
        <w:rPr>
          <w:rFonts w:ascii="Times New Roman" w:hAnsi="Times New Roman" w:cs="Times New Roman"/>
        </w:rPr>
        <w:t>Argonne National Laboratory, Lemont, IL 60439, United States</w:t>
      </w:r>
      <w:bookmarkEnd w:id="0"/>
    </w:p>
    <w:p w14:paraId="16EC3F24" w14:textId="36C903F7"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3</w:t>
      </w:r>
      <w:bookmarkStart w:id="1" w:name="_Hlk163633540"/>
      <w:r w:rsidRPr="00415046">
        <w:rPr>
          <w:rFonts w:ascii="Times New Roman" w:hAnsi="Times New Roman" w:cs="Times New Roman"/>
        </w:rPr>
        <w:t>National Renewable Energy Laboratory, Golden, CO 80401, United States</w:t>
      </w:r>
      <w:bookmarkEnd w:id="1"/>
    </w:p>
    <w:p w14:paraId="0BDDA168" w14:textId="7B3A3905"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4</w:t>
      </w:r>
      <w:r w:rsidR="00035747" w:rsidRPr="00415046">
        <w:rPr>
          <w:rFonts w:ascii="Times New Roman" w:hAnsi="Times New Roman" w:cs="Times New Roman"/>
        </w:rPr>
        <w:t>Pacific Northwest N</w:t>
      </w:r>
      <w:r w:rsidRPr="00415046">
        <w:rPr>
          <w:rFonts w:ascii="Times New Roman" w:hAnsi="Times New Roman" w:cs="Times New Roman"/>
        </w:rPr>
        <w:t xml:space="preserve">ational Laboratory, </w:t>
      </w:r>
      <w:r w:rsidR="00035747" w:rsidRPr="00415046">
        <w:rPr>
          <w:rFonts w:ascii="Times New Roman" w:hAnsi="Times New Roman" w:cs="Times New Roman"/>
        </w:rPr>
        <w:t>Richland</w:t>
      </w:r>
      <w:r w:rsidRPr="00415046">
        <w:rPr>
          <w:rFonts w:ascii="Times New Roman" w:hAnsi="Times New Roman" w:cs="Times New Roman"/>
        </w:rPr>
        <w:t xml:space="preserve">, </w:t>
      </w:r>
      <w:r w:rsidR="00035747" w:rsidRPr="00415046">
        <w:rPr>
          <w:rFonts w:ascii="Times New Roman" w:hAnsi="Times New Roman" w:cs="Times New Roman"/>
        </w:rPr>
        <w:t>WA</w:t>
      </w:r>
      <w:r w:rsidRPr="00415046">
        <w:rPr>
          <w:rFonts w:ascii="Times New Roman" w:hAnsi="Times New Roman" w:cs="Times New Roman"/>
        </w:rPr>
        <w:t xml:space="preserve"> </w:t>
      </w:r>
      <w:r w:rsidR="00035747" w:rsidRPr="00415046">
        <w:rPr>
          <w:rFonts w:ascii="Times New Roman" w:hAnsi="Times New Roman" w:cs="Times New Roman"/>
        </w:rPr>
        <w:t>99354</w:t>
      </w:r>
      <w:r w:rsidRPr="00415046">
        <w:rPr>
          <w:rFonts w:ascii="Times New Roman" w:hAnsi="Times New Roman" w:cs="Times New Roman"/>
        </w:rPr>
        <w:t>, United States</w:t>
      </w:r>
    </w:p>
    <w:p w14:paraId="5085D192" w14:textId="77777777"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 xml:space="preserve">* </w:t>
      </w:r>
      <w:r w:rsidRPr="00415046">
        <w:rPr>
          <w:rFonts w:ascii="Times New Roman" w:hAnsi="Times New Roman" w:cs="Times New Roman"/>
        </w:rPr>
        <w:t xml:space="preserve">Corresponding authors </w:t>
      </w:r>
      <w:bookmarkStart w:id="2" w:name="_GoBack"/>
      <w:bookmarkEnd w:id="2"/>
    </w:p>
    <w:p w14:paraId="1529F158" w14:textId="186B35FC" w:rsidR="00291D8A" w:rsidRPr="00415046" w:rsidRDefault="00291D8A" w:rsidP="007E2130">
      <w:pPr>
        <w:spacing w:line="240" w:lineRule="auto"/>
        <w:rPr>
          <w:rFonts w:ascii="Times New Roman" w:hAnsi="Times New Roman" w:cs="Times New Roman"/>
        </w:rPr>
      </w:pPr>
      <w:r w:rsidRPr="00415046">
        <w:rPr>
          <w:rFonts w:ascii="Times New Roman" w:hAnsi="Times New Roman" w:cs="Times New Roman"/>
          <w:vertAlign w:val="superscript"/>
        </w:rPr>
        <w:t xml:space="preserve">** </w:t>
      </w:r>
      <w:r w:rsidRPr="00415046">
        <w:rPr>
          <w:rFonts w:ascii="Times New Roman" w:hAnsi="Times New Roman" w:cs="Times New Roman"/>
        </w:rPr>
        <w:t>Co-first author</w:t>
      </w:r>
    </w:p>
    <w:p w14:paraId="7347EBCE" w14:textId="03AA7BB1" w:rsidR="00224A57" w:rsidRPr="00415046" w:rsidRDefault="00224A57" w:rsidP="007E2130">
      <w:pPr>
        <w:spacing w:after="160" w:line="240" w:lineRule="auto"/>
        <w:rPr>
          <w:rFonts w:ascii="Times New Roman" w:hAnsi="Times New Roman" w:cs="Times New Roman"/>
        </w:rPr>
      </w:pPr>
    </w:p>
    <w:sdt>
      <w:sdtPr>
        <w:rPr>
          <w:rFonts w:ascii="Times New Roman" w:eastAsia="Arial" w:hAnsi="Times New Roman" w:cs="Times New Roman"/>
          <w:color w:val="auto"/>
          <w:sz w:val="22"/>
          <w:szCs w:val="22"/>
          <w:lang w:val="en"/>
        </w:rPr>
        <w:id w:val="-1283033633"/>
        <w:docPartObj>
          <w:docPartGallery w:val="Table of Contents"/>
          <w:docPartUnique/>
        </w:docPartObj>
      </w:sdtPr>
      <w:sdtEndPr>
        <w:rPr>
          <w:b/>
          <w:bCs/>
          <w:noProof/>
        </w:rPr>
      </w:sdtEndPr>
      <w:sdtContent>
        <w:p w14:paraId="1499A131" w14:textId="7C435951" w:rsidR="00BF24D9" w:rsidRPr="00415046" w:rsidRDefault="00BF24D9" w:rsidP="007E2130">
          <w:pPr>
            <w:pStyle w:val="TOCHeading"/>
            <w:spacing w:line="240" w:lineRule="auto"/>
            <w:rPr>
              <w:rFonts w:ascii="Times New Roman" w:hAnsi="Times New Roman" w:cs="Times New Roman"/>
              <w:sz w:val="22"/>
              <w:szCs w:val="22"/>
            </w:rPr>
          </w:pPr>
          <w:r w:rsidRPr="00415046">
            <w:rPr>
              <w:rFonts w:ascii="Times New Roman" w:hAnsi="Times New Roman" w:cs="Times New Roman"/>
              <w:sz w:val="22"/>
              <w:szCs w:val="22"/>
            </w:rPr>
            <w:t>Contents</w:t>
          </w:r>
        </w:p>
        <w:p w14:paraId="23D666E4" w14:textId="49486835" w:rsidR="004A6504" w:rsidRDefault="00BF24D9">
          <w:pPr>
            <w:pStyle w:val="TOC1"/>
            <w:tabs>
              <w:tab w:val="right" w:leader="dot" w:pos="9350"/>
            </w:tabs>
            <w:rPr>
              <w:rFonts w:asciiTheme="minorHAnsi" w:eastAsiaTheme="minorEastAsia" w:hAnsiTheme="minorHAnsi" w:cstheme="minorBidi"/>
              <w:noProof/>
              <w:lang w:val="en-US"/>
            </w:rPr>
          </w:pPr>
          <w:r w:rsidRPr="00415046">
            <w:rPr>
              <w:rFonts w:ascii="Times New Roman" w:hAnsi="Times New Roman" w:cs="Times New Roman"/>
            </w:rPr>
            <w:fldChar w:fldCharType="begin"/>
          </w:r>
          <w:r w:rsidRPr="00415046">
            <w:rPr>
              <w:rFonts w:ascii="Times New Roman" w:hAnsi="Times New Roman" w:cs="Times New Roman"/>
            </w:rPr>
            <w:instrText xml:space="preserve"> TOC \o "1-3" \h \z \u </w:instrText>
          </w:r>
          <w:r w:rsidRPr="00415046">
            <w:rPr>
              <w:rFonts w:ascii="Times New Roman" w:hAnsi="Times New Roman" w:cs="Times New Roman"/>
            </w:rPr>
            <w:fldChar w:fldCharType="separate"/>
          </w:r>
          <w:hyperlink w:anchor="_Toc164699834" w:history="1">
            <w:r w:rsidR="004A6504" w:rsidRPr="00E66A6D">
              <w:rPr>
                <w:rStyle w:val="Hyperlink"/>
                <w:rFonts w:ascii="Times New Roman" w:hAnsi="Times New Roman" w:cs="Times New Roman"/>
                <w:b/>
                <w:noProof/>
              </w:rPr>
              <w:t>List of Supplementary Tables</w:t>
            </w:r>
            <w:r w:rsidR="004A6504">
              <w:rPr>
                <w:noProof/>
                <w:webHidden/>
              </w:rPr>
              <w:tab/>
            </w:r>
            <w:r w:rsidR="004A6504">
              <w:rPr>
                <w:noProof/>
                <w:webHidden/>
              </w:rPr>
              <w:fldChar w:fldCharType="begin"/>
            </w:r>
            <w:r w:rsidR="004A6504">
              <w:rPr>
                <w:noProof/>
                <w:webHidden/>
              </w:rPr>
              <w:instrText xml:space="preserve"> PAGEREF _Toc164699834 \h </w:instrText>
            </w:r>
            <w:r w:rsidR="004A6504">
              <w:rPr>
                <w:noProof/>
                <w:webHidden/>
              </w:rPr>
            </w:r>
            <w:r w:rsidR="004A6504">
              <w:rPr>
                <w:noProof/>
                <w:webHidden/>
              </w:rPr>
              <w:fldChar w:fldCharType="separate"/>
            </w:r>
            <w:r w:rsidR="004A6504">
              <w:rPr>
                <w:noProof/>
                <w:webHidden/>
              </w:rPr>
              <w:t>2</w:t>
            </w:r>
            <w:r w:rsidR="004A6504">
              <w:rPr>
                <w:noProof/>
                <w:webHidden/>
              </w:rPr>
              <w:fldChar w:fldCharType="end"/>
            </w:r>
          </w:hyperlink>
        </w:p>
        <w:p w14:paraId="7335FD16" w14:textId="483267F7" w:rsidR="004A6504" w:rsidRDefault="00965654">
          <w:pPr>
            <w:pStyle w:val="TOC1"/>
            <w:tabs>
              <w:tab w:val="right" w:leader="dot" w:pos="9350"/>
            </w:tabs>
            <w:rPr>
              <w:rFonts w:asciiTheme="minorHAnsi" w:eastAsiaTheme="minorEastAsia" w:hAnsiTheme="minorHAnsi" w:cstheme="minorBidi"/>
              <w:noProof/>
              <w:lang w:val="en-US"/>
            </w:rPr>
          </w:pPr>
          <w:hyperlink w:anchor="_Toc164699835" w:history="1">
            <w:r w:rsidR="004A6504" w:rsidRPr="00E66A6D">
              <w:rPr>
                <w:rStyle w:val="Hyperlink"/>
                <w:rFonts w:ascii="Times New Roman" w:hAnsi="Times New Roman" w:cs="Times New Roman"/>
                <w:b/>
                <w:noProof/>
              </w:rPr>
              <w:t>List of Supplementary Figures</w:t>
            </w:r>
            <w:r w:rsidR="004A6504">
              <w:rPr>
                <w:noProof/>
                <w:webHidden/>
              </w:rPr>
              <w:tab/>
            </w:r>
            <w:r w:rsidR="004A6504">
              <w:rPr>
                <w:noProof/>
                <w:webHidden/>
              </w:rPr>
              <w:fldChar w:fldCharType="begin"/>
            </w:r>
            <w:r w:rsidR="004A6504">
              <w:rPr>
                <w:noProof/>
                <w:webHidden/>
              </w:rPr>
              <w:instrText xml:space="preserve"> PAGEREF _Toc164699835 \h </w:instrText>
            </w:r>
            <w:r w:rsidR="004A6504">
              <w:rPr>
                <w:noProof/>
                <w:webHidden/>
              </w:rPr>
            </w:r>
            <w:r w:rsidR="004A6504">
              <w:rPr>
                <w:noProof/>
                <w:webHidden/>
              </w:rPr>
              <w:fldChar w:fldCharType="separate"/>
            </w:r>
            <w:r w:rsidR="004A6504">
              <w:rPr>
                <w:noProof/>
                <w:webHidden/>
              </w:rPr>
              <w:t>2</w:t>
            </w:r>
            <w:r w:rsidR="004A6504">
              <w:rPr>
                <w:noProof/>
                <w:webHidden/>
              </w:rPr>
              <w:fldChar w:fldCharType="end"/>
            </w:r>
          </w:hyperlink>
        </w:p>
        <w:p w14:paraId="793B2C8A" w14:textId="0F80AD54" w:rsidR="004A6504" w:rsidRDefault="00965654">
          <w:pPr>
            <w:pStyle w:val="TOC1"/>
            <w:tabs>
              <w:tab w:val="right" w:leader="dot" w:pos="9350"/>
            </w:tabs>
            <w:rPr>
              <w:rFonts w:asciiTheme="minorHAnsi" w:eastAsiaTheme="minorEastAsia" w:hAnsiTheme="minorHAnsi" w:cstheme="minorBidi"/>
              <w:noProof/>
              <w:lang w:val="en-US"/>
            </w:rPr>
          </w:pPr>
          <w:hyperlink w:anchor="_Toc164699836" w:history="1">
            <w:r w:rsidR="004A6504" w:rsidRPr="00E66A6D">
              <w:rPr>
                <w:rStyle w:val="Hyperlink"/>
                <w:rFonts w:ascii="Times New Roman" w:hAnsi="Times New Roman" w:cs="Times New Roman"/>
                <w:b/>
                <w:noProof/>
              </w:rPr>
              <w:t>Note 1: Scaling factors and capital costs.</w:t>
            </w:r>
            <w:r w:rsidR="004A6504">
              <w:rPr>
                <w:noProof/>
                <w:webHidden/>
              </w:rPr>
              <w:tab/>
            </w:r>
            <w:r w:rsidR="004A6504">
              <w:rPr>
                <w:noProof/>
                <w:webHidden/>
              </w:rPr>
              <w:fldChar w:fldCharType="begin"/>
            </w:r>
            <w:r w:rsidR="004A6504">
              <w:rPr>
                <w:noProof/>
                <w:webHidden/>
              </w:rPr>
              <w:instrText xml:space="preserve"> PAGEREF _Toc164699836 \h </w:instrText>
            </w:r>
            <w:r w:rsidR="004A6504">
              <w:rPr>
                <w:noProof/>
                <w:webHidden/>
              </w:rPr>
            </w:r>
            <w:r w:rsidR="004A6504">
              <w:rPr>
                <w:noProof/>
                <w:webHidden/>
              </w:rPr>
              <w:fldChar w:fldCharType="separate"/>
            </w:r>
            <w:r w:rsidR="004A6504">
              <w:rPr>
                <w:noProof/>
                <w:webHidden/>
              </w:rPr>
              <w:t>3</w:t>
            </w:r>
            <w:r w:rsidR="004A6504">
              <w:rPr>
                <w:noProof/>
                <w:webHidden/>
              </w:rPr>
              <w:fldChar w:fldCharType="end"/>
            </w:r>
          </w:hyperlink>
        </w:p>
        <w:p w14:paraId="6E288FCF" w14:textId="7F042350" w:rsidR="004A6504" w:rsidRDefault="00965654">
          <w:pPr>
            <w:pStyle w:val="TOC1"/>
            <w:tabs>
              <w:tab w:val="right" w:leader="dot" w:pos="9350"/>
            </w:tabs>
            <w:rPr>
              <w:rFonts w:asciiTheme="minorHAnsi" w:eastAsiaTheme="minorEastAsia" w:hAnsiTheme="minorHAnsi" w:cstheme="minorBidi"/>
              <w:noProof/>
              <w:lang w:val="en-US"/>
            </w:rPr>
          </w:pPr>
          <w:hyperlink w:anchor="_Toc164699837" w:history="1">
            <w:r w:rsidR="004A6504" w:rsidRPr="00E66A6D">
              <w:rPr>
                <w:rStyle w:val="Hyperlink"/>
                <w:rFonts w:ascii="Times New Roman" w:hAnsi="Times New Roman" w:cs="Times New Roman"/>
                <w:b/>
                <w:noProof/>
              </w:rPr>
              <w:t>Note 2: Carbon intensity of consumables and first fills.</w:t>
            </w:r>
            <w:r w:rsidR="004A6504">
              <w:rPr>
                <w:noProof/>
                <w:webHidden/>
              </w:rPr>
              <w:tab/>
            </w:r>
            <w:r w:rsidR="004A6504">
              <w:rPr>
                <w:noProof/>
                <w:webHidden/>
              </w:rPr>
              <w:fldChar w:fldCharType="begin"/>
            </w:r>
            <w:r w:rsidR="004A6504">
              <w:rPr>
                <w:noProof/>
                <w:webHidden/>
              </w:rPr>
              <w:instrText xml:space="preserve"> PAGEREF _Toc164699837 \h </w:instrText>
            </w:r>
            <w:r w:rsidR="004A6504">
              <w:rPr>
                <w:noProof/>
                <w:webHidden/>
              </w:rPr>
            </w:r>
            <w:r w:rsidR="004A6504">
              <w:rPr>
                <w:noProof/>
                <w:webHidden/>
              </w:rPr>
              <w:fldChar w:fldCharType="separate"/>
            </w:r>
            <w:r w:rsidR="004A6504">
              <w:rPr>
                <w:noProof/>
                <w:webHidden/>
              </w:rPr>
              <w:t>5</w:t>
            </w:r>
            <w:r w:rsidR="004A6504">
              <w:rPr>
                <w:noProof/>
                <w:webHidden/>
              </w:rPr>
              <w:fldChar w:fldCharType="end"/>
            </w:r>
          </w:hyperlink>
        </w:p>
        <w:p w14:paraId="2521E4C6" w14:textId="64A3C449" w:rsidR="004A6504" w:rsidRDefault="00965654">
          <w:pPr>
            <w:pStyle w:val="TOC1"/>
            <w:tabs>
              <w:tab w:val="right" w:leader="dot" w:pos="9350"/>
            </w:tabs>
            <w:rPr>
              <w:rFonts w:asciiTheme="minorHAnsi" w:eastAsiaTheme="minorEastAsia" w:hAnsiTheme="minorHAnsi" w:cstheme="minorBidi"/>
              <w:noProof/>
              <w:lang w:val="en-US"/>
            </w:rPr>
          </w:pPr>
          <w:hyperlink w:anchor="_Toc164699838" w:history="1">
            <w:r w:rsidR="004A6504" w:rsidRPr="00E66A6D">
              <w:rPr>
                <w:rStyle w:val="Hyperlink"/>
                <w:rFonts w:ascii="Times New Roman" w:hAnsi="Times New Roman" w:cs="Times New Roman"/>
                <w:b/>
                <w:noProof/>
              </w:rPr>
              <w:t>Note 3: Storage facility scaling equation.</w:t>
            </w:r>
            <w:r w:rsidR="004A6504">
              <w:rPr>
                <w:noProof/>
                <w:webHidden/>
              </w:rPr>
              <w:tab/>
            </w:r>
            <w:r w:rsidR="004A6504">
              <w:rPr>
                <w:noProof/>
                <w:webHidden/>
              </w:rPr>
              <w:fldChar w:fldCharType="begin"/>
            </w:r>
            <w:r w:rsidR="004A6504">
              <w:rPr>
                <w:noProof/>
                <w:webHidden/>
              </w:rPr>
              <w:instrText xml:space="preserve"> PAGEREF _Toc164699838 \h </w:instrText>
            </w:r>
            <w:r w:rsidR="004A6504">
              <w:rPr>
                <w:noProof/>
                <w:webHidden/>
              </w:rPr>
            </w:r>
            <w:r w:rsidR="004A6504">
              <w:rPr>
                <w:noProof/>
                <w:webHidden/>
              </w:rPr>
              <w:fldChar w:fldCharType="separate"/>
            </w:r>
            <w:r w:rsidR="004A6504">
              <w:rPr>
                <w:noProof/>
                <w:webHidden/>
              </w:rPr>
              <w:t>6</w:t>
            </w:r>
            <w:r w:rsidR="004A6504">
              <w:rPr>
                <w:noProof/>
                <w:webHidden/>
              </w:rPr>
              <w:fldChar w:fldCharType="end"/>
            </w:r>
          </w:hyperlink>
        </w:p>
        <w:p w14:paraId="20523B0D" w14:textId="762E51C0" w:rsidR="004A6504" w:rsidRDefault="00965654">
          <w:pPr>
            <w:pStyle w:val="TOC1"/>
            <w:tabs>
              <w:tab w:val="right" w:leader="dot" w:pos="9350"/>
            </w:tabs>
            <w:rPr>
              <w:rFonts w:asciiTheme="minorHAnsi" w:eastAsiaTheme="minorEastAsia" w:hAnsiTheme="minorHAnsi" w:cstheme="minorBidi"/>
              <w:noProof/>
              <w:lang w:val="en-US"/>
            </w:rPr>
          </w:pPr>
          <w:hyperlink w:anchor="_Toc164699839" w:history="1">
            <w:r w:rsidR="004A6504" w:rsidRPr="00E66A6D">
              <w:rPr>
                <w:rStyle w:val="Hyperlink"/>
                <w:rFonts w:ascii="Times New Roman" w:hAnsi="Times New Roman" w:cs="Times New Roman"/>
                <w:b/>
                <w:noProof/>
              </w:rPr>
              <w:t>Note 4: Alternative storage technologies</w:t>
            </w:r>
            <w:r w:rsidR="004A6504">
              <w:rPr>
                <w:noProof/>
                <w:webHidden/>
              </w:rPr>
              <w:tab/>
            </w:r>
            <w:r w:rsidR="004A6504">
              <w:rPr>
                <w:noProof/>
                <w:webHidden/>
              </w:rPr>
              <w:fldChar w:fldCharType="begin"/>
            </w:r>
            <w:r w:rsidR="004A6504">
              <w:rPr>
                <w:noProof/>
                <w:webHidden/>
              </w:rPr>
              <w:instrText xml:space="preserve"> PAGEREF _Toc164699839 \h </w:instrText>
            </w:r>
            <w:r w:rsidR="004A6504">
              <w:rPr>
                <w:noProof/>
                <w:webHidden/>
              </w:rPr>
            </w:r>
            <w:r w:rsidR="004A6504">
              <w:rPr>
                <w:noProof/>
                <w:webHidden/>
              </w:rPr>
              <w:fldChar w:fldCharType="separate"/>
            </w:r>
            <w:r w:rsidR="004A6504">
              <w:rPr>
                <w:noProof/>
                <w:webHidden/>
              </w:rPr>
              <w:t>8</w:t>
            </w:r>
            <w:r w:rsidR="004A6504">
              <w:rPr>
                <w:noProof/>
                <w:webHidden/>
              </w:rPr>
              <w:fldChar w:fldCharType="end"/>
            </w:r>
          </w:hyperlink>
        </w:p>
        <w:p w14:paraId="0DB02144" w14:textId="36475617" w:rsidR="004A6504" w:rsidRDefault="00965654">
          <w:pPr>
            <w:pStyle w:val="TOC1"/>
            <w:tabs>
              <w:tab w:val="right" w:leader="dot" w:pos="9350"/>
            </w:tabs>
            <w:rPr>
              <w:rFonts w:asciiTheme="minorHAnsi" w:eastAsiaTheme="minorEastAsia" w:hAnsiTheme="minorHAnsi" w:cstheme="minorBidi"/>
              <w:noProof/>
              <w:lang w:val="en-US"/>
            </w:rPr>
          </w:pPr>
          <w:hyperlink w:anchor="_Toc164699840" w:history="1">
            <w:r w:rsidR="004A6504" w:rsidRPr="00E66A6D">
              <w:rPr>
                <w:rStyle w:val="Hyperlink"/>
                <w:rFonts w:ascii="Times New Roman" w:hAnsi="Times New Roman" w:cs="Times New Roman"/>
                <w:b/>
                <w:noProof/>
              </w:rPr>
              <w:t>Note 5: Hydrogen Safety Panel interview summary.</w:t>
            </w:r>
            <w:r w:rsidR="004A6504">
              <w:rPr>
                <w:noProof/>
                <w:webHidden/>
              </w:rPr>
              <w:tab/>
            </w:r>
            <w:r w:rsidR="004A6504">
              <w:rPr>
                <w:noProof/>
                <w:webHidden/>
              </w:rPr>
              <w:fldChar w:fldCharType="begin"/>
            </w:r>
            <w:r w:rsidR="004A6504">
              <w:rPr>
                <w:noProof/>
                <w:webHidden/>
              </w:rPr>
              <w:instrText xml:space="preserve"> PAGEREF _Toc164699840 \h </w:instrText>
            </w:r>
            <w:r w:rsidR="004A6504">
              <w:rPr>
                <w:noProof/>
                <w:webHidden/>
              </w:rPr>
            </w:r>
            <w:r w:rsidR="004A6504">
              <w:rPr>
                <w:noProof/>
                <w:webHidden/>
              </w:rPr>
              <w:fldChar w:fldCharType="separate"/>
            </w:r>
            <w:r w:rsidR="004A6504">
              <w:rPr>
                <w:noProof/>
                <w:webHidden/>
              </w:rPr>
              <w:t>10</w:t>
            </w:r>
            <w:r w:rsidR="004A6504">
              <w:rPr>
                <w:noProof/>
                <w:webHidden/>
              </w:rPr>
              <w:fldChar w:fldCharType="end"/>
            </w:r>
          </w:hyperlink>
        </w:p>
        <w:p w14:paraId="38F8E261" w14:textId="3B6FB9A9" w:rsidR="004A6504" w:rsidRDefault="00965654">
          <w:pPr>
            <w:pStyle w:val="TOC1"/>
            <w:tabs>
              <w:tab w:val="right" w:leader="dot" w:pos="9350"/>
            </w:tabs>
            <w:rPr>
              <w:rFonts w:asciiTheme="minorHAnsi" w:eastAsiaTheme="minorEastAsia" w:hAnsiTheme="minorHAnsi" w:cstheme="minorBidi"/>
              <w:noProof/>
              <w:lang w:val="en-US"/>
            </w:rPr>
          </w:pPr>
          <w:hyperlink w:anchor="_Toc164699841" w:history="1">
            <w:r w:rsidR="004A6504" w:rsidRPr="00E66A6D">
              <w:rPr>
                <w:rStyle w:val="Hyperlink"/>
                <w:rFonts w:ascii="Times New Roman" w:hAnsi="Times New Roman" w:cs="Times New Roman"/>
                <w:b/>
                <w:noProof/>
              </w:rPr>
              <w:t>Note 6: Additional results.</w:t>
            </w:r>
            <w:r w:rsidR="004A6504">
              <w:rPr>
                <w:noProof/>
                <w:webHidden/>
              </w:rPr>
              <w:tab/>
            </w:r>
            <w:r w:rsidR="004A6504">
              <w:rPr>
                <w:noProof/>
                <w:webHidden/>
              </w:rPr>
              <w:fldChar w:fldCharType="begin"/>
            </w:r>
            <w:r w:rsidR="004A6504">
              <w:rPr>
                <w:noProof/>
                <w:webHidden/>
              </w:rPr>
              <w:instrText xml:space="preserve"> PAGEREF _Toc164699841 \h </w:instrText>
            </w:r>
            <w:r w:rsidR="004A6504">
              <w:rPr>
                <w:noProof/>
                <w:webHidden/>
              </w:rPr>
            </w:r>
            <w:r w:rsidR="004A6504">
              <w:rPr>
                <w:noProof/>
                <w:webHidden/>
              </w:rPr>
              <w:fldChar w:fldCharType="separate"/>
            </w:r>
            <w:r w:rsidR="004A6504">
              <w:rPr>
                <w:noProof/>
                <w:webHidden/>
              </w:rPr>
              <w:t>13</w:t>
            </w:r>
            <w:r w:rsidR="004A6504">
              <w:rPr>
                <w:noProof/>
                <w:webHidden/>
              </w:rPr>
              <w:fldChar w:fldCharType="end"/>
            </w:r>
          </w:hyperlink>
        </w:p>
        <w:p w14:paraId="3F117150" w14:textId="115F6B9E" w:rsidR="004A6504" w:rsidRDefault="00965654">
          <w:pPr>
            <w:pStyle w:val="TOC1"/>
            <w:tabs>
              <w:tab w:val="right" w:leader="dot" w:pos="9350"/>
            </w:tabs>
            <w:rPr>
              <w:rFonts w:asciiTheme="minorHAnsi" w:eastAsiaTheme="minorEastAsia" w:hAnsiTheme="minorHAnsi" w:cstheme="minorBidi"/>
              <w:noProof/>
              <w:lang w:val="en-US"/>
            </w:rPr>
          </w:pPr>
          <w:hyperlink w:anchor="_Toc164699842" w:history="1">
            <w:r w:rsidR="004A6504" w:rsidRPr="00E66A6D">
              <w:rPr>
                <w:rStyle w:val="Hyperlink"/>
                <w:rFonts w:ascii="Times New Roman" w:hAnsi="Times New Roman" w:cs="Times New Roman"/>
                <w:b/>
                <w:noProof/>
              </w:rPr>
              <w:t>References</w:t>
            </w:r>
            <w:r w:rsidR="004A6504">
              <w:rPr>
                <w:noProof/>
                <w:webHidden/>
              </w:rPr>
              <w:tab/>
            </w:r>
            <w:r w:rsidR="004A6504">
              <w:rPr>
                <w:noProof/>
                <w:webHidden/>
              </w:rPr>
              <w:fldChar w:fldCharType="begin"/>
            </w:r>
            <w:r w:rsidR="004A6504">
              <w:rPr>
                <w:noProof/>
                <w:webHidden/>
              </w:rPr>
              <w:instrText xml:space="preserve"> PAGEREF _Toc164699842 \h </w:instrText>
            </w:r>
            <w:r w:rsidR="004A6504">
              <w:rPr>
                <w:noProof/>
                <w:webHidden/>
              </w:rPr>
            </w:r>
            <w:r w:rsidR="004A6504">
              <w:rPr>
                <w:noProof/>
                <w:webHidden/>
              </w:rPr>
              <w:fldChar w:fldCharType="separate"/>
            </w:r>
            <w:r w:rsidR="004A6504">
              <w:rPr>
                <w:noProof/>
                <w:webHidden/>
              </w:rPr>
              <w:t>17</w:t>
            </w:r>
            <w:r w:rsidR="004A6504">
              <w:rPr>
                <w:noProof/>
                <w:webHidden/>
              </w:rPr>
              <w:fldChar w:fldCharType="end"/>
            </w:r>
          </w:hyperlink>
        </w:p>
        <w:p w14:paraId="64C99A7B" w14:textId="00C1BF59" w:rsidR="00BF24D9" w:rsidRPr="00415046" w:rsidRDefault="00BF24D9" w:rsidP="007E2130">
          <w:pPr>
            <w:spacing w:line="240" w:lineRule="auto"/>
            <w:rPr>
              <w:rFonts w:ascii="Times New Roman" w:hAnsi="Times New Roman" w:cs="Times New Roman"/>
            </w:rPr>
          </w:pPr>
          <w:r w:rsidRPr="00415046">
            <w:rPr>
              <w:rFonts w:ascii="Times New Roman" w:hAnsi="Times New Roman" w:cs="Times New Roman"/>
              <w:b/>
              <w:bCs/>
              <w:noProof/>
            </w:rPr>
            <w:fldChar w:fldCharType="end"/>
          </w:r>
        </w:p>
      </w:sdtContent>
    </w:sdt>
    <w:p w14:paraId="7EA08D9B" w14:textId="77777777" w:rsidR="004A6504" w:rsidRDefault="004A6504">
      <w:pPr>
        <w:spacing w:after="160" w:line="259" w:lineRule="auto"/>
        <w:rPr>
          <w:rFonts w:ascii="Times New Roman" w:eastAsiaTheme="majorEastAsia" w:hAnsi="Times New Roman" w:cs="Times New Roman"/>
          <w:b/>
        </w:rPr>
      </w:pPr>
      <w:r>
        <w:rPr>
          <w:rFonts w:ascii="Times New Roman" w:hAnsi="Times New Roman" w:cs="Times New Roman"/>
          <w:b/>
        </w:rPr>
        <w:br w:type="page"/>
      </w:r>
    </w:p>
    <w:p w14:paraId="3E57E6FB" w14:textId="337A872D" w:rsidR="00BF24D9" w:rsidRPr="004D60D8" w:rsidRDefault="004D60D8" w:rsidP="004D60D8">
      <w:pPr>
        <w:pStyle w:val="Heading1"/>
        <w:rPr>
          <w:rFonts w:ascii="Times New Roman" w:hAnsi="Times New Roman" w:cs="Times New Roman"/>
          <w:b/>
          <w:color w:val="auto"/>
          <w:sz w:val="22"/>
          <w:szCs w:val="22"/>
        </w:rPr>
      </w:pPr>
      <w:bookmarkStart w:id="3" w:name="_Toc164699834"/>
      <w:r w:rsidRPr="004D60D8">
        <w:rPr>
          <w:rFonts w:ascii="Times New Roman" w:hAnsi="Times New Roman" w:cs="Times New Roman"/>
          <w:b/>
          <w:color w:val="auto"/>
          <w:sz w:val="22"/>
          <w:szCs w:val="22"/>
        </w:rPr>
        <w:lastRenderedPageBreak/>
        <w:t>List of Supplementary Tables</w:t>
      </w:r>
      <w:bookmarkEnd w:id="3"/>
    </w:p>
    <w:p w14:paraId="15204876" w14:textId="692C5464" w:rsidR="004A6504" w:rsidRDefault="004D60D8">
      <w:pPr>
        <w:pStyle w:val="TableofFigures"/>
        <w:tabs>
          <w:tab w:val="right" w:leader="dot" w:pos="9350"/>
        </w:tabs>
        <w:rPr>
          <w:rFonts w:asciiTheme="minorHAnsi" w:eastAsiaTheme="minorEastAsia" w:hAnsiTheme="minorHAnsi" w:cstheme="minorBidi"/>
          <w:noProof/>
          <w:lang w:val="en-US"/>
        </w:rPr>
      </w:pPr>
      <w:r>
        <w:rPr>
          <w:rFonts w:ascii="Times New Roman" w:hAnsi="Times New Roman" w:cs="Times New Roman"/>
        </w:rPr>
        <w:fldChar w:fldCharType="begin"/>
      </w:r>
      <w:r>
        <w:rPr>
          <w:rFonts w:ascii="Times New Roman" w:hAnsi="Times New Roman" w:cs="Times New Roman"/>
        </w:rPr>
        <w:instrText xml:space="preserve"> TOC \h \z \c "Table" </w:instrText>
      </w:r>
      <w:r>
        <w:rPr>
          <w:rFonts w:ascii="Times New Roman" w:hAnsi="Times New Roman" w:cs="Times New Roman"/>
        </w:rPr>
        <w:fldChar w:fldCharType="separate"/>
      </w:r>
      <w:hyperlink w:anchor="_Toc164699852" w:history="1">
        <w:r w:rsidR="004A6504" w:rsidRPr="0035658F">
          <w:rPr>
            <w:rStyle w:val="Hyperlink"/>
            <w:rFonts w:ascii="Times New Roman" w:hAnsi="Times New Roman" w:cs="Times New Roman"/>
            <w:noProof/>
          </w:rPr>
          <w:t>Table S1 | Capital components for the hydrogenation, dehydrogenation, and storage systems with scaling factors. Capital cost (CAPEX) from ASPENPlus and exponent from Woods (2007)</w:t>
        </w:r>
        <w:r w:rsidR="004A6504" w:rsidRPr="0035658F">
          <w:rPr>
            <w:rStyle w:val="Hyperlink"/>
            <w:rFonts w:ascii="Times New Roman" w:hAnsi="Times New Roman" w:cs="Times New Roman"/>
            <w:noProof/>
            <w:vertAlign w:val="superscript"/>
          </w:rPr>
          <w:t>1</w:t>
        </w:r>
        <w:r w:rsidR="004A6504" w:rsidRPr="0035658F">
          <w:rPr>
            <w:rStyle w:val="Hyperlink"/>
            <w:rFonts w:ascii="Times New Roman" w:hAnsi="Times New Roman" w:cs="Times New Roman"/>
            <w:noProof/>
          </w:rPr>
          <w:t xml:space="preserve"> unless noted otherwise.</w:t>
        </w:r>
        <w:r w:rsidR="004A6504">
          <w:rPr>
            <w:noProof/>
            <w:webHidden/>
          </w:rPr>
          <w:tab/>
        </w:r>
        <w:r w:rsidR="004A6504">
          <w:rPr>
            <w:noProof/>
            <w:webHidden/>
          </w:rPr>
          <w:fldChar w:fldCharType="begin"/>
        </w:r>
        <w:r w:rsidR="004A6504">
          <w:rPr>
            <w:noProof/>
            <w:webHidden/>
          </w:rPr>
          <w:instrText xml:space="preserve"> PAGEREF _Toc164699852 \h </w:instrText>
        </w:r>
        <w:r w:rsidR="004A6504">
          <w:rPr>
            <w:noProof/>
            <w:webHidden/>
          </w:rPr>
        </w:r>
        <w:r w:rsidR="004A6504">
          <w:rPr>
            <w:noProof/>
            <w:webHidden/>
          </w:rPr>
          <w:fldChar w:fldCharType="separate"/>
        </w:r>
        <w:r w:rsidR="004A6504">
          <w:rPr>
            <w:noProof/>
            <w:webHidden/>
          </w:rPr>
          <w:t>4</w:t>
        </w:r>
        <w:r w:rsidR="004A6504">
          <w:rPr>
            <w:noProof/>
            <w:webHidden/>
          </w:rPr>
          <w:fldChar w:fldCharType="end"/>
        </w:r>
      </w:hyperlink>
    </w:p>
    <w:p w14:paraId="128899B5" w14:textId="3082E509"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53" w:history="1">
        <w:r w:rsidR="004A6504" w:rsidRPr="0035658F">
          <w:rPr>
            <w:rStyle w:val="Hyperlink"/>
            <w:rFonts w:ascii="Times New Roman" w:hAnsi="Times New Roman" w:cs="Times New Roman"/>
            <w:noProof/>
          </w:rPr>
          <w:t>Table S2 | Life-cycle greenhouse gas emission factors (EF). NG: natural gas</w:t>
        </w:r>
        <w:r w:rsidR="004A6504">
          <w:rPr>
            <w:noProof/>
            <w:webHidden/>
          </w:rPr>
          <w:tab/>
        </w:r>
        <w:r w:rsidR="004A6504">
          <w:rPr>
            <w:noProof/>
            <w:webHidden/>
          </w:rPr>
          <w:fldChar w:fldCharType="begin"/>
        </w:r>
        <w:r w:rsidR="004A6504">
          <w:rPr>
            <w:noProof/>
            <w:webHidden/>
          </w:rPr>
          <w:instrText xml:space="preserve"> PAGEREF _Toc164699853 \h </w:instrText>
        </w:r>
        <w:r w:rsidR="004A6504">
          <w:rPr>
            <w:noProof/>
            <w:webHidden/>
          </w:rPr>
        </w:r>
        <w:r w:rsidR="004A6504">
          <w:rPr>
            <w:noProof/>
            <w:webHidden/>
          </w:rPr>
          <w:fldChar w:fldCharType="separate"/>
        </w:r>
        <w:r w:rsidR="004A6504">
          <w:rPr>
            <w:noProof/>
            <w:webHidden/>
          </w:rPr>
          <w:t>5</w:t>
        </w:r>
        <w:r w:rsidR="004A6504">
          <w:rPr>
            <w:noProof/>
            <w:webHidden/>
          </w:rPr>
          <w:fldChar w:fldCharType="end"/>
        </w:r>
      </w:hyperlink>
    </w:p>
    <w:p w14:paraId="1D7D6922" w14:textId="60B84419"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54" w:history="1">
        <w:r w:rsidR="004A6504" w:rsidRPr="0035658F">
          <w:rPr>
            <w:rStyle w:val="Hyperlink"/>
            <w:rFonts w:ascii="Times New Roman" w:hAnsi="Times New Roman" w:cs="Times New Roman"/>
            <w:noProof/>
          </w:rPr>
          <w:t>Table S3 | Cost breakdown of TOL/MCH storage system across four key design capacity parameters. Example user inputs are presented in the first four rows. The ranges are not intended to capture all combinations of equipment size and operation, nor to suggest there are locations with both capacities and storage sizes at the min. and max. range. T: metric tonne. TPD: tonnes per day.</w:t>
        </w:r>
        <w:r w:rsidR="004A6504">
          <w:rPr>
            <w:noProof/>
            <w:webHidden/>
          </w:rPr>
          <w:tab/>
        </w:r>
        <w:r w:rsidR="004A6504">
          <w:rPr>
            <w:noProof/>
            <w:webHidden/>
          </w:rPr>
          <w:fldChar w:fldCharType="begin"/>
        </w:r>
        <w:r w:rsidR="004A6504">
          <w:rPr>
            <w:noProof/>
            <w:webHidden/>
          </w:rPr>
          <w:instrText xml:space="preserve"> PAGEREF _Toc164699854 \h </w:instrText>
        </w:r>
        <w:r w:rsidR="004A6504">
          <w:rPr>
            <w:noProof/>
            <w:webHidden/>
          </w:rPr>
        </w:r>
        <w:r w:rsidR="004A6504">
          <w:rPr>
            <w:noProof/>
            <w:webHidden/>
          </w:rPr>
          <w:fldChar w:fldCharType="separate"/>
        </w:r>
        <w:r w:rsidR="004A6504">
          <w:rPr>
            <w:noProof/>
            <w:webHidden/>
          </w:rPr>
          <w:t>6</w:t>
        </w:r>
        <w:r w:rsidR="004A6504">
          <w:rPr>
            <w:noProof/>
            <w:webHidden/>
          </w:rPr>
          <w:fldChar w:fldCharType="end"/>
        </w:r>
      </w:hyperlink>
    </w:p>
    <w:p w14:paraId="6D88C856" w14:textId="2F66C856" w:rsidR="004A6504" w:rsidRPr="004A6504" w:rsidRDefault="004D60D8" w:rsidP="004A6504">
      <w:pPr>
        <w:spacing w:after="160" w:line="240" w:lineRule="auto"/>
        <w:rPr>
          <w:rFonts w:ascii="Times New Roman" w:hAnsi="Times New Roman" w:cs="Times New Roman"/>
        </w:rPr>
      </w:pPr>
      <w:r>
        <w:rPr>
          <w:rFonts w:ascii="Times New Roman" w:hAnsi="Times New Roman" w:cs="Times New Roman"/>
        </w:rPr>
        <w:fldChar w:fldCharType="end"/>
      </w:r>
    </w:p>
    <w:p w14:paraId="73402A7D" w14:textId="3084B10B" w:rsidR="004A6504" w:rsidRDefault="004D60D8" w:rsidP="004D60D8">
      <w:pPr>
        <w:pStyle w:val="Heading1"/>
        <w:rPr>
          <w:rFonts w:ascii="Times New Roman" w:hAnsi="Times New Roman" w:cs="Times New Roman"/>
          <w:b/>
          <w:color w:val="auto"/>
          <w:sz w:val="22"/>
          <w:szCs w:val="22"/>
        </w:rPr>
      </w:pPr>
      <w:bookmarkStart w:id="4" w:name="_Toc164699835"/>
      <w:r w:rsidRPr="004D60D8">
        <w:rPr>
          <w:rFonts w:ascii="Times New Roman" w:hAnsi="Times New Roman" w:cs="Times New Roman"/>
          <w:b/>
          <w:color w:val="auto"/>
          <w:sz w:val="22"/>
          <w:szCs w:val="22"/>
        </w:rPr>
        <w:t>List of Supplementary Figures</w:t>
      </w:r>
      <w:bookmarkEnd w:id="4"/>
    </w:p>
    <w:p w14:paraId="4BC00B82" w14:textId="4014C572" w:rsidR="004A6504" w:rsidRDefault="004A6504">
      <w:pPr>
        <w:pStyle w:val="TableofFigures"/>
        <w:tabs>
          <w:tab w:val="right" w:leader="dot" w:pos="9350"/>
        </w:tabs>
        <w:rPr>
          <w:rFonts w:asciiTheme="minorHAnsi" w:eastAsiaTheme="minorEastAsia" w:hAnsiTheme="minorHAnsi" w:cstheme="minorBidi"/>
          <w:noProof/>
          <w:lang w:val="en-US"/>
        </w:rPr>
      </w:pPr>
      <w:r>
        <w:rPr>
          <w:rFonts w:ascii="Times New Roman" w:hAnsi="Times New Roman" w:cs="Times New Roman"/>
          <w:b/>
        </w:rPr>
        <w:fldChar w:fldCharType="begin"/>
      </w:r>
      <w:r>
        <w:rPr>
          <w:rFonts w:ascii="Times New Roman" w:hAnsi="Times New Roman" w:cs="Times New Roman"/>
          <w:b/>
        </w:rPr>
        <w:instrText xml:space="preserve"> TOC \h \z \c "Figure" </w:instrText>
      </w:r>
      <w:r>
        <w:rPr>
          <w:rFonts w:ascii="Times New Roman" w:hAnsi="Times New Roman" w:cs="Times New Roman"/>
          <w:b/>
        </w:rPr>
        <w:fldChar w:fldCharType="separate"/>
      </w:r>
      <w:hyperlink w:anchor="_Toc164699843" w:history="1">
        <w:r w:rsidRPr="00665CAF">
          <w:rPr>
            <w:rStyle w:val="Hyperlink"/>
            <w:rFonts w:ascii="Times New Roman" w:hAnsi="Times New Roman" w:cs="Times New Roman"/>
            <w:noProof/>
          </w:rPr>
          <w:t>Figure S1 | Distribution of error from scaling equation. Distribution of error in LCOS resulting from applying the storage facility scaling equation. Error reflects the net change compared with the LCOS derived from the approach described in Note 1.</w:t>
        </w:r>
        <w:r>
          <w:rPr>
            <w:noProof/>
            <w:webHidden/>
          </w:rPr>
          <w:tab/>
        </w:r>
        <w:r>
          <w:rPr>
            <w:noProof/>
            <w:webHidden/>
          </w:rPr>
          <w:fldChar w:fldCharType="begin"/>
        </w:r>
        <w:r>
          <w:rPr>
            <w:noProof/>
            <w:webHidden/>
          </w:rPr>
          <w:instrText xml:space="preserve"> PAGEREF _Toc164699843 \h </w:instrText>
        </w:r>
        <w:r>
          <w:rPr>
            <w:noProof/>
            <w:webHidden/>
          </w:rPr>
        </w:r>
        <w:r>
          <w:rPr>
            <w:noProof/>
            <w:webHidden/>
          </w:rPr>
          <w:fldChar w:fldCharType="separate"/>
        </w:r>
        <w:r>
          <w:rPr>
            <w:noProof/>
            <w:webHidden/>
          </w:rPr>
          <w:t>7</w:t>
        </w:r>
        <w:r>
          <w:rPr>
            <w:noProof/>
            <w:webHidden/>
          </w:rPr>
          <w:fldChar w:fldCharType="end"/>
        </w:r>
      </w:hyperlink>
    </w:p>
    <w:p w14:paraId="21864588" w14:textId="43814325"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4" w:history="1">
        <w:r w:rsidR="004A6504" w:rsidRPr="00665CAF">
          <w:rPr>
            <w:rStyle w:val="Hyperlink"/>
            <w:rFonts w:ascii="Times New Roman" w:hAnsi="Times New Roman" w:cs="Times New Roman"/>
            <w:noProof/>
          </w:rPr>
          <w:t>Figure S2 | Performance of TOL/MCH storage for exemplary location in Texas. Storage system is fixed at 200 TPD dehydrogenation capacity, and maximum storage of 3,000 tonnes, for a steel end user.</w:t>
        </w:r>
        <w:r w:rsidR="004A6504">
          <w:rPr>
            <w:noProof/>
            <w:webHidden/>
          </w:rPr>
          <w:tab/>
        </w:r>
        <w:r w:rsidR="004A6504">
          <w:rPr>
            <w:noProof/>
            <w:webHidden/>
          </w:rPr>
          <w:fldChar w:fldCharType="begin"/>
        </w:r>
        <w:r w:rsidR="004A6504">
          <w:rPr>
            <w:noProof/>
            <w:webHidden/>
          </w:rPr>
          <w:instrText xml:space="preserve"> PAGEREF _Toc164699844 \h </w:instrText>
        </w:r>
        <w:r w:rsidR="004A6504">
          <w:rPr>
            <w:noProof/>
            <w:webHidden/>
          </w:rPr>
        </w:r>
        <w:r w:rsidR="004A6504">
          <w:rPr>
            <w:noProof/>
            <w:webHidden/>
          </w:rPr>
          <w:fldChar w:fldCharType="separate"/>
        </w:r>
        <w:r w:rsidR="004A6504">
          <w:rPr>
            <w:noProof/>
            <w:webHidden/>
          </w:rPr>
          <w:t>7</w:t>
        </w:r>
        <w:r w:rsidR="004A6504">
          <w:rPr>
            <w:noProof/>
            <w:webHidden/>
          </w:rPr>
          <w:fldChar w:fldCharType="end"/>
        </w:r>
      </w:hyperlink>
    </w:p>
    <w:p w14:paraId="37263AF0" w14:textId="0F0DAE97"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5" w:history="1">
        <w:r w:rsidR="004A6504" w:rsidRPr="00665CAF">
          <w:rPr>
            <w:rStyle w:val="Hyperlink"/>
            <w:rFonts w:ascii="Times New Roman" w:hAnsi="Times New Roman" w:cs="Times New Roman"/>
            <w:noProof/>
          </w:rPr>
          <w:t>Figure S3 | Capital cost for cryogenic storage and liquefaction plants.</w:t>
        </w:r>
        <w:r w:rsidR="004A6504">
          <w:rPr>
            <w:noProof/>
            <w:webHidden/>
          </w:rPr>
          <w:tab/>
        </w:r>
        <w:r w:rsidR="004A6504">
          <w:rPr>
            <w:noProof/>
            <w:webHidden/>
          </w:rPr>
          <w:fldChar w:fldCharType="begin"/>
        </w:r>
        <w:r w:rsidR="004A6504">
          <w:rPr>
            <w:noProof/>
            <w:webHidden/>
          </w:rPr>
          <w:instrText xml:space="preserve"> PAGEREF _Toc164699845 \h </w:instrText>
        </w:r>
        <w:r w:rsidR="004A6504">
          <w:rPr>
            <w:noProof/>
            <w:webHidden/>
          </w:rPr>
        </w:r>
        <w:r w:rsidR="004A6504">
          <w:rPr>
            <w:noProof/>
            <w:webHidden/>
          </w:rPr>
          <w:fldChar w:fldCharType="separate"/>
        </w:r>
        <w:r w:rsidR="004A6504">
          <w:rPr>
            <w:noProof/>
            <w:webHidden/>
          </w:rPr>
          <w:t>8</w:t>
        </w:r>
        <w:r w:rsidR="004A6504">
          <w:rPr>
            <w:noProof/>
            <w:webHidden/>
          </w:rPr>
          <w:fldChar w:fldCharType="end"/>
        </w:r>
      </w:hyperlink>
    </w:p>
    <w:p w14:paraId="50AFDC6F" w14:textId="1A88DFD2"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6" w:history="1">
        <w:r w:rsidR="004A6504" w:rsidRPr="00665CAF">
          <w:rPr>
            <w:rStyle w:val="Hyperlink"/>
            <w:rFonts w:ascii="Times New Roman" w:hAnsi="Times New Roman" w:cs="Times New Roman"/>
            <w:noProof/>
          </w:rPr>
          <w:t>Figure S4 | Levelized cost of delivered hydrogen for above and belowground storage technologies. Results presented for a case where H</w:t>
        </w:r>
        <w:r w:rsidR="004A6504" w:rsidRPr="00665CAF">
          <w:rPr>
            <w:rStyle w:val="Hyperlink"/>
            <w:rFonts w:ascii="Times New Roman" w:hAnsi="Times New Roman" w:cs="Times New Roman"/>
            <w:noProof/>
            <w:vertAlign w:val="subscript"/>
          </w:rPr>
          <w:t>2</w:t>
        </w:r>
        <w:r w:rsidR="004A6504" w:rsidRPr="00665CAF">
          <w:rPr>
            <w:rStyle w:val="Hyperlink"/>
            <w:rFonts w:ascii="Times New Roman" w:hAnsi="Times New Roman" w:cs="Times New Roman"/>
            <w:noProof/>
          </w:rPr>
          <w:t xml:space="preserve"> is produced at $1/kg-H</w:t>
        </w:r>
        <w:r w:rsidR="004A6504" w:rsidRPr="00665CAF">
          <w:rPr>
            <w:rStyle w:val="Hyperlink"/>
            <w:rFonts w:ascii="Times New Roman" w:hAnsi="Times New Roman" w:cs="Times New Roman"/>
            <w:noProof/>
            <w:vertAlign w:val="subscript"/>
          </w:rPr>
          <w:t>2</w:t>
        </w:r>
        <w:r w:rsidR="004A6504" w:rsidRPr="00665CAF">
          <w:rPr>
            <w:rStyle w:val="Hyperlink"/>
            <w:rFonts w:ascii="Times New Roman" w:hAnsi="Times New Roman" w:cs="Times New Roman"/>
            <w:noProof/>
          </w:rPr>
          <w:t>, the storage facility is scaled to ~3,000 tonnes H</w:t>
        </w:r>
        <w:r w:rsidR="004A6504" w:rsidRPr="00665CAF">
          <w:rPr>
            <w:rStyle w:val="Hyperlink"/>
            <w:rFonts w:ascii="Times New Roman" w:hAnsi="Times New Roman" w:cs="Times New Roman"/>
            <w:noProof/>
            <w:vertAlign w:val="subscript"/>
          </w:rPr>
          <w:t>2</w:t>
        </w:r>
        <w:r w:rsidR="004A6504" w:rsidRPr="00665CAF">
          <w:rPr>
            <w:rStyle w:val="Hyperlink"/>
            <w:rFonts w:ascii="Times New Roman" w:hAnsi="Times New Roman" w:cs="Times New Roman"/>
            <w:noProof/>
          </w:rPr>
          <w:t>. GH2: 100 bar compressed gas; LH2: cryogenic liquid where boiloff at 3% per day is utilized; LRC: lined rock caverns at 150 bar compression.</w:t>
        </w:r>
        <w:r w:rsidR="004A6504">
          <w:rPr>
            <w:noProof/>
            <w:webHidden/>
          </w:rPr>
          <w:tab/>
        </w:r>
        <w:r w:rsidR="004A6504">
          <w:rPr>
            <w:noProof/>
            <w:webHidden/>
          </w:rPr>
          <w:fldChar w:fldCharType="begin"/>
        </w:r>
        <w:r w:rsidR="004A6504">
          <w:rPr>
            <w:noProof/>
            <w:webHidden/>
          </w:rPr>
          <w:instrText xml:space="preserve"> PAGEREF _Toc164699846 \h </w:instrText>
        </w:r>
        <w:r w:rsidR="004A6504">
          <w:rPr>
            <w:noProof/>
            <w:webHidden/>
          </w:rPr>
        </w:r>
        <w:r w:rsidR="004A6504">
          <w:rPr>
            <w:noProof/>
            <w:webHidden/>
          </w:rPr>
          <w:fldChar w:fldCharType="separate"/>
        </w:r>
        <w:r w:rsidR="004A6504">
          <w:rPr>
            <w:noProof/>
            <w:webHidden/>
          </w:rPr>
          <w:t>10</w:t>
        </w:r>
        <w:r w:rsidR="004A6504">
          <w:rPr>
            <w:noProof/>
            <w:webHidden/>
          </w:rPr>
          <w:fldChar w:fldCharType="end"/>
        </w:r>
      </w:hyperlink>
    </w:p>
    <w:p w14:paraId="05A86099" w14:textId="3E96C364"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7" w:history="1">
        <w:r w:rsidR="004A6504" w:rsidRPr="00665CAF">
          <w:rPr>
            <w:rStyle w:val="Hyperlink"/>
            <w:rFonts w:ascii="Times New Roman" w:hAnsi="Times New Roman" w:cs="Times New Roman"/>
            <w:noProof/>
          </w:rPr>
          <w:t>Figure S5 | Mean capacity of the hydrogenation facility and dehydrogenation facility. Results presented for the median value of 20 locations with the lowest, median, and highest levelized cost of storage.</w:t>
        </w:r>
        <w:r w:rsidR="004A6504">
          <w:rPr>
            <w:noProof/>
            <w:webHidden/>
          </w:rPr>
          <w:tab/>
        </w:r>
        <w:r w:rsidR="004A6504">
          <w:rPr>
            <w:noProof/>
            <w:webHidden/>
          </w:rPr>
          <w:fldChar w:fldCharType="begin"/>
        </w:r>
        <w:r w:rsidR="004A6504">
          <w:rPr>
            <w:noProof/>
            <w:webHidden/>
          </w:rPr>
          <w:instrText xml:space="preserve"> PAGEREF _Toc164699847 \h </w:instrText>
        </w:r>
        <w:r w:rsidR="004A6504">
          <w:rPr>
            <w:noProof/>
            <w:webHidden/>
          </w:rPr>
        </w:r>
        <w:r w:rsidR="004A6504">
          <w:rPr>
            <w:noProof/>
            <w:webHidden/>
          </w:rPr>
          <w:fldChar w:fldCharType="separate"/>
        </w:r>
        <w:r w:rsidR="004A6504">
          <w:rPr>
            <w:noProof/>
            <w:webHidden/>
          </w:rPr>
          <w:t>13</w:t>
        </w:r>
        <w:r w:rsidR="004A6504">
          <w:rPr>
            <w:noProof/>
            <w:webHidden/>
          </w:rPr>
          <w:fldChar w:fldCharType="end"/>
        </w:r>
      </w:hyperlink>
    </w:p>
    <w:p w14:paraId="278E91FE" w14:textId="6DDBCEEF"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8" w:history="1">
        <w:r w:rsidR="004A6504" w:rsidRPr="00665CAF">
          <w:rPr>
            <w:rStyle w:val="Hyperlink"/>
            <w:rFonts w:ascii="Times New Roman" w:hAnsi="Times New Roman" w:cs="Times New Roman"/>
            <w:noProof/>
          </w:rPr>
          <w:t>Figure S6 | Breakdown of levelized cost of storage. Breakdown by capital and operating costs for 20 representative locations near the lowest, median, and highest cost identified in the national sweep.</w:t>
        </w:r>
        <w:r w:rsidR="004A6504">
          <w:rPr>
            <w:noProof/>
            <w:webHidden/>
          </w:rPr>
          <w:tab/>
        </w:r>
        <w:r w:rsidR="004A6504">
          <w:rPr>
            <w:noProof/>
            <w:webHidden/>
          </w:rPr>
          <w:fldChar w:fldCharType="begin"/>
        </w:r>
        <w:r w:rsidR="004A6504">
          <w:rPr>
            <w:noProof/>
            <w:webHidden/>
          </w:rPr>
          <w:instrText xml:space="preserve"> PAGEREF _Toc164699848 \h </w:instrText>
        </w:r>
        <w:r w:rsidR="004A6504">
          <w:rPr>
            <w:noProof/>
            <w:webHidden/>
          </w:rPr>
        </w:r>
        <w:r w:rsidR="004A6504">
          <w:rPr>
            <w:noProof/>
            <w:webHidden/>
          </w:rPr>
          <w:fldChar w:fldCharType="separate"/>
        </w:r>
        <w:r w:rsidR="004A6504">
          <w:rPr>
            <w:noProof/>
            <w:webHidden/>
          </w:rPr>
          <w:t>14</w:t>
        </w:r>
        <w:r w:rsidR="004A6504">
          <w:rPr>
            <w:noProof/>
            <w:webHidden/>
          </w:rPr>
          <w:fldChar w:fldCharType="end"/>
        </w:r>
      </w:hyperlink>
    </w:p>
    <w:p w14:paraId="238390E5" w14:textId="5822896D"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49" w:history="1">
        <w:r w:rsidR="004A6504" w:rsidRPr="00665CAF">
          <w:rPr>
            <w:rStyle w:val="Hyperlink"/>
            <w:rFonts w:ascii="Times New Roman" w:hAnsi="Times New Roman" w:cs="Times New Roman"/>
            <w:noProof/>
          </w:rPr>
          <w:t>Figure S7 | Hourly tank fill level profile in equivalents of stored H</w:t>
        </w:r>
        <w:r w:rsidR="004A6504" w:rsidRPr="00665CAF">
          <w:rPr>
            <w:rStyle w:val="Hyperlink"/>
            <w:rFonts w:ascii="Times New Roman" w:hAnsi="Times New Roman" w:cs="Times New Roman"/>
            <w:noProof/>
            <w:vertAlign w:val="subscript"/>
          </w:rPr>
          <w:t>2</w:t>
        </w:r>
        <w:r w:rsidR="004A6504" w:rsidRPr="00665CAF">
          <w:rPr>
            <w:rStyle w:val="Hyperlink"/>
            <w:rFonts w:ascii="Times New Roman" w:hAnsi="Times New Roman" w:cs="Times New Roman"/>
            <w:noProof/>
          </w:rPr>
          <w:t>. Results presented for two example locations with the lowest, median and highest levelized cost of storage.</w:t>
        </w:r>
        <w:r w:rsidR="004A6504">
          <w:rPr>
            <w:noProof/>
            <w:webHidden/>
          </w:rPr>
          <w:tab/>
        </w:r>
        <w:r w:rsidR="004A6504">
          <w:rPr>
            <w:noProof/>
            <w:webHidden/>
          </w:rPr>
          <w:fldChar w:fldCharType="begin"/>
        </w:r>
        <w:r w:rsidR="004A6504">
          <w:rPr>
            <w:noProof/>
            <w:webHidden/>
          </w:rPr>
          <w:instrText xml:space="preserve"> PAGEREF _Toc164699849 \h </w:instrText>
        </w:r>
        <w:r w:rsidR="004A6504">
          <w:rPr>
            <w:noProof/>
            <w:webHidden/>
          </w:rPr>
        </w:r>
        <w:r w:rsidR="004A6504">
          <w:rPr>
            <w:noProof/>
            <w:webHidden/>
          </w:rPr>
          <w:fldChar w:fldCharType="separate"/>
        </w:r>
        <w:r w:rsidR="004A6504">
          <w:rPr>
            <w:noProof/>
            <w:webHidden/>
          </w:rPr>
          <w:t>14</w:t>
        </w:r>
        <w:r w:rsidR="004A6504">
          <w:rPr>
            <w:noProof/>
            <w:webHidden/>
          </w:rPr>
          <w:fldChar w:fldCharType="end"/>
        </w:r>
      </w:hyperlink>
    </w:p>
    <w:p w14:paraId="095A6FF2" w14:textId="1C111FA3"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50" w:history="1">
        <w:r w:rsidR="004A6504" w:rsidRPr="00665CAF">
          <w:rPr>
            <w:rStyle w:val="Hyperlink"/>
            <w:rFonts w:ascii="Times New Roman" w:hAnsi="Times New Roman" w:cs="Times New Roman"/>
            <w:noProof/>
          </w:rPr>
          <w:t>Figure S8 | Production cost (LCOH) of H</w:t>
        </w:r>
        <w:r w:rsidR="004A6504" w:rsidRPr="00665CAF">
          <w:rPr>
            <w:rStyle w:val="Hyperlink"/>
            <w:rFonts w:ascii="Times New Roman" w:hAnsi="Times New Roman" w:cs="Times New Roman"/>
            <w:noProof/>
            <w:vertAlign w:val="subscript"/>
          </w:rPr>
          <w:t>2</w:t>
        </w:r>
        <w:r w:rsidR="004A6504" w:rsidRPr="00665CAF">
          <w:rPr>
            <w:rStyle w:val="Hyperlink"/>
            <w:rFonts w:ascii="Times New Roman" w:hAnsi="Times New Roman" w:cs="Times New Roman"/>
            <w:noProof/>
          </w:rPr>
          <w:t xml:space="preserve"> from wind and solar generation powering 1 GW electrolyzer systems. Data generated using the GreenHEART model.</w:t>
        </w:r>
        <w:r w:rsidR="004A6504">
          <w:rPr>
            <w:noProof/>
            <w:webHidden/>
          </w:rPr>
          <w:tab/>
        </w:r>
        <w:r w:rsidR="004A6504">
          <w:rPr>
            <w:noProof/>
            <w:webHidden/>
          </w:rPr>
          <w:fldChar w:fldCharType="begin"/>
        </w:r>
        <w:r w:rsidR="004A6504">
          <w:rPr>
            <w:noProof/>
            <w:webHidden/>
          </w:rPr>
          <w:instrText xml:space="preserve"> PAGEREF _Toc164699850 \h </w:instrText>
        </w:r>
        <w:r w:rsidR="004A6504">
          <w:rPr>
            <w:noProof/>
            <w:webHidden/>
          </w:rPr>
        </w:r>
        <w:r w:rsidR="004A6504">
          <w:rPr>
            <w:noProof/>
            <w:webHidden/>
          </w:rPr>
          <w:fldChar w:fldCharType="separate"/>
        </w:r>
        <w:r w:rsidR="004A6504">
          <w:rPr>
            <w:noProof/>
            <w:webHidden/>
          </w:rPr>
          <w:t>15</w:t>
        </w:r>
        <w:r w:rsidR="004A6504">
          <w:rPr>
            <w:noProof/>
            <w:webHidden/>
          </w:rPr>
          <w:fldChar w:fldCharType="end"/>
        </w:r>
      </w:hyperlink>
    </w:p>
    <w:p w14:paraId="6D8546B7" w14:textId="2DC55BDC" w:rsidR="004A6504" w:rsidRDefault="00965654">
      <w:pPr>
        <w:pStyle w:val="TableofFigures"/>
        <w:tabs>
          <w:tab w:val="right" w:leader="dot" w:pos="9350"/>
        </w:tabs>
        <w:rPr>
          <w:rFonts w:asciiTheme="minorHAnsi" w:eastAsiaTheme="minorEastAsia" w:hAnsiTheme="minorHAnsi" w:cstheme="minorBidi"/>
          <w:noProof/>
          <w:lang w:val="en-US"/>
        </w:rPr>
      </w:pPr>
      <w:hyperlink w:anchor="_Toc164699851" w:history="1">
        <w:r w:rsidR="004A6504" w:rsidRPr="00665CAF">
          <w:rPr>
            <w:rStyle w:val="Hyperlink"/>
            <w:rFonts w:ascii="Times New Roman" w:hAnsi="Times New Roman" w:cs="Times New Roman"/>
            <w:noProof/>
          </w:rPr>
          <w:t>Figure S9 | Locations with hydrogenation capacity greater than or equal to 200 TPD.</w:t>
        </w:r>
        <w:r w:rsidR="004A6504">
          <w:rPr>
            <w:noProof/>
            <w:webHidden/>
          </w:rPr>
          <w:tab/>
        </w:r>
        <w:r w:rsidR="004A6504">
          <w:rPr>
            <w:noProof/>
            <w:webHidden/>
          </w:rPr>
          <w:fldChar w:fldCharType="begin"/>
        </w:r>
        <w:r w:rsidR="004A6504">
          <w:rPr>
            <w:noProof/>
            <w:webHidden/>
          </w:rPr>
          <w:instrText xml:space="preserve"> PAGEREF _Toc164699851 \h </w:instrText>
        </w:r>
        <w:r w:rsidR="004A6504">
          <w:rPr>
            <w:noProof/>
            <w:webHidden/>
          </w:rPr>
        </w:r>
        <w:r w:rsidR="004A6504">
          <w:rPr>
            <w:noProof/>
            <w:webHidden/>
          </w:rPr>
          <w:fldChar w:fldCharType="separate"/>
        </w:r>
        <w:r w:rsidR="004A6504">
          <w:rPr>
            <w:noProof/>
            <w:webHidden/>
          </w:rPr>
          <w:t>16</w:t>
        </w:r>
        <w:r w:rsidR="004A6504">
          <w:rPr>
            <w:noProof/>
            <w:webHidden/>
          </w:rPr>
          <w:fldChar w:fldCharType="end"/>
        </w:r>
      </w:hyperlink>
    </w:p>
    <w:p w14:paraId="051C8355" w14:textId="38BD284E" w:rsidR="00291D8A" w:rsidRPr="004D60D8" w:rsidRDefault="004A6504" w:rsidP="004D60D8">
      <w:pPr>
        <w:pStyle w:val="Heading1"/>
        <w:rPr>
          <w:rFonts w:ascii="Times New Roman" w:hAnsi="Times New Roman" w:cs="Times New Roman"/>
          <w:b/>
          <w:sz w:val="22"/>
          <w:szCs w:val="22"/>
        </w:rPr>
      </w:pPr>
      <w:r>
        <w:rPr>
          <w:rFonts w:ascii="Times New Roman" w:hAnsi="Times New Roman" w:cs="Times New Roman"/>
          <w:b/>
          <w:sz w:val="22"/>
          <w:szCs w:val="22"/>
        </w:rPr>
        <w:fldChar w:fldCharType="end"/>
      </w:r>
      <w:r w:rsidR="00291D8A" w:rsidRPr="004D60D8">
        <w:rPr>
          <w:rFonts w:ascii="Times New Roman" w:hAnsi="Times New Roman" w:cs="Times New Roman"/>
          <w:b/>
          <w:sz w:val="22"/>
          <w:szCs w:val="22"/>
        </w:rPr>
        <w:br w:type="page"/>
      </w:r>
    </w:p>
    <w:p w14:paraId="07434DE3" w14:textId="7FE30B4C" w:rsidR="006052F3" w:rsidRPr="00415046" w:rsidRDefault="00517E88" w:rsidP="007E2130">
      <w:pPr>
        <w:pStyle w:val="Heading1"/>
        <w:spacing w:line="240" w:lineRule="auto"/>
        <w:rPr>
          <w:rFonts w:ascii="Times New Roman" w:hAnsi="Times New Roman" w:cs="Times New Roman"/>
          <w:b/>
          <w:color w:val="auto"/>
          <w:sz w:val="22"/>
          <w:szCs w:val="22"/>
        </w:rPr>
      </w:pPr>
      <w:bookmarkStart w:id="5" w:name="_Toc164699836"/>
      <w:r w:rsidRPr="00415046">
        <w:rPr>
          <w:rFonts w:ascii="Times New Roman" w:hAnsi="Times New Roman" w:cs="Times New Roman"/>
          <w:b/>
          <w:color w:val="auto"/>
          <w:sz w:val="22"/>
          <w:szCs w:val="22"/>
        </w:rPr>
        <w:lastRenderedPageBreak/>
        <w:t xml:space="preserve">Note 1: </w:t>
      </w:r>
      <w:r w:rsidR="00291D8A" w:rsidRPr="00415046">
        <w:rPr>
          <w:rFonts w:ascii="Times New Roman" w:hAnsi="Times New Roman" w:cs="Times New Roman"/>
          <w:b/>
          <w:color w:val="auto"/>
          <w:sz w:val="22"/>
          <w:szCs w:val="22"/>
        </w:rPr>
        <w:t xml:space="preserve">Scaling </w:t>
      </w:r>
      <w:r w:rsidR="00C810D4" w:rsidRPr="00415046">
        <w:rPr>
          <w:rFonts w:ascii="Times New Roman" w:hAnsi="Times New Roman" w:cs="Times New Roman"/>
          <w:b/>
          <w:color w:val="auto"/>
          <w:sz w:val="22"/>
          <w:szCs w:val="22"/>
        </w:rPr>
        <w:t>f</w:t>
      </w:r>
      <w:r w:rsidR="00291D8A" w:rsidRPr="00415046">
        <w:rPr>
          <w:rFonts w:ascii="Times New Roman" w:hAnsi="Times New Roman" w:cs="Times New Roman"/>
          <w:b/>
          <w:color w:val="auto"/>
          <w:sz w:val="22"/>
          <w:szCs w:val="22"/>
        </w:rPr>
        <w:t xml:space="preserve">actors and </w:t>
      </w:r>
      <w:r w:rsidR="00C810D4" w:rsidRPr="00415046">
        <w:rPr>
          <w:rFonts w:ascii="Times New Roman" w:hAnsi="Times New Roman" w:cs="Times New Roman"/>
          <w:b/>
          <w:color w:val="auto"/>
          <w:sz w:val="22"/>
          <w:szCs w:val="22"/>
        </w:rPr>
        <w:t>c</w:t>
      </w:r>
      <w:r w:rsidR="00291D8A" w:rsidRPr="00415046">
        <w:rPr>
          <w:rFonts w:ascii="Times New Roman" w:hAnsi="Times New Roman" w:cs="Times New Roman"/>
          <w:b/>
          <w:color w:val="auto"/>
          <w:sz w:val="22"/>
          <w:szCs w:val="22"/>
        </w:rPr>
        <w:t>apital</w:t>
      </w:r>
      <w:r w:rsidR="00C810D4" w:rsidRPr="00415046">
        <w:rPr>
          <w:rFonts w:ascii="Times New Roman" w:hAnsi="Times New Roman" w:cs="Times New Roman"/>
          <w:b/>
          <w:color w:val="auto"/>
          <w:sz w:val="22"/>
          <w:szCs w:val="22"/>
        </w:rPr>
        <w:t xml:space="preserve"> costs.</w:t>
      </w:r>
      <w:bookmarkEnd w:id="5"/>
    </w:p>
    <w:p w14:paraId="0BD9FE73" w14:textId="5718575E" w:rsidR="00BF24D9" w:rsidRPr="00415046" w:rsidRDefault="00BF24D9" w:rsidP="007E2130">
      <w:pPr>
        <w:spacing w:line="240" w:lineRule="auto"/>
        <w:rPr>
          <w:rFonts w:ascii="Times New Roman" w:hAnsi="Times New Roman" w:cs="Times New Roman"/>
        </w:rPr>
      </w:pPr>
      <w:r w:rsidRPr="00415046">
        <w:rPr>
          <w:rFonts w:ascii="Times New Roman" w:hAnsi="Times New Roman" w:cs="Times New Roman"/>
        </w:rPr>
        <w:t>The toluene (TOL)/methylcyclohexane (MCH) storage system is modeled in ASPENPlus at the system capacity described in the manuscript for the case location in Southwest Texas</w:t>
      </w:r>
      <w:r w:rsidR="00CF0BB2" w:rsidRPr="00415046">
        <w:rPr>
          <w:rFonts w:ascii="Times New Roman" w:hAnsi="Times New Roman" w:cs="Times New Roman"/>
        </w:rPr>
        <w:t>, and is the cost reference for this study</w:t>
      </w:r>
      <w:r w:rsidRPr="00415046">
        <w:rPr>
          <w:rFonts w:ascii="Times New Roman" w:hAnsi="Times New Roman" w:cs="Times New Roman"/>
        </w:rPr>
        <w:t xml:space="preserve">. </w:t>
      </w:r>
      <w:r w:rsidR="00CF0BB2" w:rsidRPr="00415046">
        <w:rPr>
          <w:rFonts w:ascii="Times New Roman" w:hAnsi="Times New Roman" w:cs="Times New Roman"/>
        </w:rPr>
        <w:t>The total plant operating capacity and any necessary spare trains are gathered at the equipment level, and used to calculate capital costs. Capital costs are acquired from various references, primarily ASPENPlus and Rules of Thumb in Engineering Practice by Donald R. Woods.</w:t>
      </w:r>
      <w:r w:rsidR="00CF0BB2" w:rsidRPr="00415046">
        <w:rPr>
          <w:rFonts w:ascii="Times New Roman" w:hAnsi="Times New Roman" w:cs="Times New Roman"/>
        </w:rPr>
        <w:fldChar w:fldCharType="begin" w:fldLock="1"/>
      </w:r>
      <w:r w:rsidR="00A11F5F" w:rsidRPr="00415046">
        <w:rPr>
          <w:rFonts w:ascii="Times New Roman" w:hAnsi="Times New Roman" w:cs="Times New Roman"/>
        </w:rPr>
        <w:instrText>ADDIN CSL_CITATION {"citationItems":[{"id":"ITEM-1","itemData":{"DOI":"10.1002/9783527611119","ISBN":"9783527312207","abstract":"An immense treasure trove containing hundreds of equipment symptoms, arranged so as to allow swift identification and elimination of the causes. These rules of thumb are the result of preserving and structuring the immense knowledge of experienced engineers collected and compiled by the author - an experienced engineer himself - into an invaluable book that helps younger engineers find their way from symptoms to causes. This sourcebook is unrivalled in its depth and breadth of coverage, listing five important aspects for each piece of equipment: Area of application. Sizing guidelines. Capital cost including difficult-to-find installation factors. Principles of good practice, and good approaches to troubleshooting. Extensive cross-referencing takes into account that some items of equipment are used for many different purposes, and covers not only the most familiar types, but special care has been taken to also include less common ones. Consistent terminology and SI units are used throughout the book, while a detailed index quickly and reliably directs readers, thus aiding engineers in their everyday work at chemical plants: from keywords to solutions in a matter of minutes. © 2007 Wiley-VCH Verlag GmbH &amp; Co. KGaA.","author":[{"dropping-particle":"","family":"Woods","given":"Donald R.","non-dropping-particle":"","parse-names":false,"suffix":""}],"container-title":"Rules of Thumb in Engineering Practice","id":"ITEM-1","issued":{"date-parts":[["2007","5","10"]]},"page":"1-458","publisher":"Wiley-VCH","title":"Rules of Thumb in Engineering Practice","type":"article-journal"},"uris":["http://www.mendeley.com/documents/?uuid=e8d389a0-8a7c-34ed-ae04-78f541645046"]}],"mendeley":{"formattedCitation":"&lt;sup&gt;1&lt;/sup&gt;","plainTextFormattedCitation":"1","previouslyFormattedCitation":"&lt;sup&gt;1&lt;/sup&gt;"},"properties":{"noteIndex":0},"schema":"https://github.com/citation-style-language/schema/raw/master/csl-citation.json"}</w:instrText>
      </w:r>
      <w:r w:rsidR="00CF0BB2" w:rsidRPr="00415046">
        <w:rPr>
          <w:rFonts w:ascii="Times New Roman" w:hAnsi="Times New Roman" w:cs="Times New Roman"/>
        </w:rPr>
        <w:fldChar w:fldCharType="separate"/>
      </w:r>
      <w:r w:rsidR="00CF0BB2" w:rsidRPr="00415046">
        <w:rPr>
          <w:rFonts w:ascii="Times New Roman" w:hAnsi="Times New Roman" w:cs="Times New Roman"/>
          <w:noProof/>
          <w:vertAlign w:val="superscript"/>
        </w:rPr>
        <w:t>1</w:t>
      </w:r>
      <w:r w:rsidR="00CF0BB2" w:rsidRPr="00415046">
        <w:rPr>
          <w:rFonts w:ascii="Times New Roman" w:hAnsi="Times New Roman" w:cs="Times New Roman"/>
        </w:rPr>
        <w:fldChar w:fldCharType="end"/>
      </w:r>
      <w:r w:rsidR="00CF0BB2" w:rsidRPr="00415046">
        <w:rPr>
          <w:rFonts w:ascii="Times New Roman" w:hAnsi="Times New Roman" w:cs="Times New Roman"/>
        </w:rPr>
        <w:t xml:space="preserve"> </w:t>
      </w:r>
      <w:r w:rsidRPr="00415046">
        <w:rPr>
          <w:rFonts w:ascii="Times New Roman" w:hAnsi="Times New Roman" w:cs="Times New Roman"/>
        </w:rPr>
        <w:t xml:space="preserve">A scaling approach is used to calculate the system size and subsequent capital costs for the hydrogenation, dehydrogenation, and liquid storage systems. </w:t>
      </w:r>
      <w:r w:rsidR="00384BB4" w:rsidRPr="00415046">
        <w:rPr>
          <w:rFonts w:ascii="Times New Roman" w:hAnsi="Times New Roman" w:cs="Times New Roman"/>
        </w:rPr>
        <w:t>Scaling factors are adopted at the equipment level, noted in Table S1.</w:t>
      </w:r>
      <w:r w:rsidR="00CF0BB2" w:rsidRPr="00415046">
        <w:rPr>
          <w:rFonts w:ascii="Times New Roman" w:hAnsi="Times New Roman" w:cs="Times New Roman"/>
        </w:rPr>
        <w:t xml:space="preserve"> Our analysis uses a scaling approach based on the operating capacity in equipment specific units to get bare module costs. Once scaled, total plant cost is estimated by accounting for engineering, procurement, and contractor services and fees, process contingency, and project contingency. Maintenance factors are assigned at the equipment level as a fraction of equipment total plant cost.</w:t>
      </w:r>
      <w:r w:rsidR="00A11F5F" w:rsidRPr="00415046">
        <w:rPr>
          <w:rFonts w:ascii="Times New Roman" w:hAnsi="Times New Roman" w:cs="Times New Roman"/>
        </w:rPr>
        <w:t xml:space="preserve"> Balance of plant including piping, instrumentation, electrical, site development and buildings are taken as a percentage of major equipment cost for the hydrogenation and dehydrogenation </w:t>
      </w:r>
      <w:proofErr w:type="spellStart"/>
      <w:r w:rsidR="00A11F5F" w:rsidRPr="00415046">
        <w:rPr>
          <w:rFonts w:ascii="Times New Roman" w:hAnsi="Times New Roman" w:cs="Times New Roman"/>
        </w:rPr>
        <w:t>facilties</w:t>
      </w:r>
      <w:proofErr w:type="spellEnd"/>
      <w:r w:rsidR="00A11F5F" w:rsidRPr="00415046">
        <w:rPr>
          <w:rFonts w:ascii="Times New Roman" w:hAnsi="Times New Roman" w:cs="Times New Roman"/>
        </w:rPr>
        <w:t xml:space="preserve"> and scaled using a Lang Factor.</w:t>
      </w:r>
      <w:r w:rsidR="00CE044D" w:rsidRPr="00415046">
        <w:rPr>
          <w:rFonts w:ascii="Times New Roman" w:hAnsi="Times New Roman" w:cs="Times New Roman"/>
        </w:rPr>
        <w:t xml:space="preserve"> This approach was used to model every location in the nation-sweep. An alternative, faster approach is presented in Note 3.</w:t>
      </w:r>
    </w:p>
    <w:p w14:paraId="3CCEED8D" w14:textId="77777777" w:rsidR="00BF24D9" w:rsidRPr="00415046" w:rsidRDefault="00BF24D9" w:rsidP="007E2130">
      <w:pPr>
        <w:spacing w:line="240" w:lineRule="auto"/>
        <w:rPr>
          <w:rFonts w:ascii="Times New Roman" w:hAnsi="Times New Roman" w:cs="Times New Roman"/>
        </w:rPr>
      </w:pPr>
    </w:p>
    <w:p w14:paraId="21875E8B" w14:textId="77777777" w:rsidR="00E024FD" w:rsidRPr="00415046" w:rsidRDefault="00E024FD" w:rsidP="007E2130">
      <w:pPr>
        <w:spacing w:after="160" w:line="240" w:lineRule="auto"/>
        <w:rPr>
          <w:rFonts w:ascii="Times New Roman" w:hAnsi="Times New Roman" w:cs="Times New Roman"/>
          <w:b/>
        </w:rPr>
      </w:pPr>
      <w:r w:rsidRPr="00415046">
        <w:rPr>
          <w:rFonts w:ascii="Times New Roman" w:hAnsi="Times New Roman" w:cs="Times New Roman"/>
          <w:b/>
        </w:rPr>
        <w:br w:type="page"/>
      </w:r>
    </w:p>
    <w:p w14:paraId="0E8B3F4D" w14:textId="379BD0D0" w:rsidR="006052F3" w:rsidRPr="004D60D8" w:rsidRDefault="00D51999" w:rsidP="002E2232">
      <w:pPr>
        <w:pStyle w:val="Caption"/>
        <w:keepNext/>
        <w:rPr>
          <w:rFonts w:ascii="Times New Roman" w:hAnsi="Times New Roman" w:cs="Times New Roman"/>
          <w:color w:val="auto"/>
          <w:sz w:val="22"/>
        </w:rPr>
      </w:pPr>
      <w:bookmarkStart w:id="6" w:name="_Toc164699852"/>
      <w:r w:rsidRPr="004D60D8">
        <w:rPr>
          <w:rFonts w:ascii="Times New Roman" w:hAnsi="Times New Roman" w:cs="Times New Roman"/>
          <w:color w:val="auto"/>
          <w:sz w:val="22"/>
        </w:rPr>
        <w:lastRenderedPageBreak/>
        <w:t xml:space="preserve">Table </w:t>
      </w:r>
      <w:r w:rsidR="002E2232" w:rsidRPr="004D60D8">
        <w:rPr>
          <w:rFonts w:ascii="Times New Roman" w:hAnsi="Times New Roman" w:cs="Times New Roman"/>
          <w:color w:val="auto"/>
          <w:sz w:val="22"/>
        </w:rPr>
        <w:t>S</w:t>
      </w:r>
      <w:r w:rsidRPr="004D60D8">
        <w:rPr>
          <w:rFonts w:ascii="Times New Roman" w:hAnsi="Times New Roman" w:cs="Times New Roman"/>
          <w:color w:val="auto"/>
          <w:sz w:val="22"/>
        </w:rPr>
        <w:fldChar w:fldCharType="begin"/>
      </w:r>
      <w:r w:rsidRPr="004D60D8">
        <w:rPr>
          <w:rFonts w:ascii="Times New Roman" w:hAnsi="Times New Roman" w:cs="Times New Roman"/>
          <w:color w:val="auto"/>
          <w:sz w:val="22"/>
        </w:rPr>
        <w:instrText xml:space="preserve"> SEQ Table \* ARABIC </w:instrText>
      </w:r>
      <w:r w:rsidRPr="004D60D8">
        <w:rPr>
          <w:rFonts w:ascii="Times New Roman" w:hAnsi="Times New Roman" w:cs="Times New Roman"/>
          <w:color w:val="auto"/>
          <w:sz w:val="22"/>
        </w:rPr>
        <w:fldChar w:fldCharType="separate"/>
      </w:r>
      <w:r w:rsidR="002E2232" w:rsidRPr="004D60D8">
        <w:rPr>
          <w:rFonts w:ascii="Times New Roman" w:hAnsi="Times New Roman" w:cs="Times New Roman"/>
          <w:noProof/>
          <w:color w:val="auto"/>
          <w:sz w:val="22"/>
        </w:rPr>
        <w:t>1</w:t>
      </w:r>
      <w:r w:rsidRPr="004D60D8">
        <w:rPr>
          <w:rFonts w:ascii="Times New Roman" w:hAnsi="Times New Roman" w:cs="Times New Roman"/>
          <w:color w:val="auto"/>
          <w:sz w:val="22"/>
        </w:rPr>
        <w:fldChar w:fldCharType="end"/>
      </w:r>
      <w:r w:rsidRPr="004D60D8">
        <w:rPr>
          <w:rFonts w:ascii="Times New Roman" w:hAnsi="Times New Roman" w:cs="Times New Roman"/>
          <w:color w:val="auto"/>
          <w:sz w:val="22"/>
        </w:rPr>
        <w:t xml:space="preserve"> | Capital components for the hydrogenation, dehydrogenation, and storage systems with scaling factors. Capital cost (CAPEX) from ASPENPlus and exponent from Woods (2007)</w:t>
      </w:r>
      <w:r w:rsidR="002E2232" w:rsidRPr="004D60D8">
        <w:rPr>
          <w:rFonts w:ascii="Times New Roman" w:hAnsi="Times New Roman" w:cs="Times New Roman"/>
          <w:color w:val="auto"/>
          <w:sz w:val="22"/>
        </w:rPr>
        <w:fldChar w:fldCharType="begin" w:fldLock="1"/>
      </w:r>
      <w:r w:rsidR="002E2232" w:rsidRPr="004D60D8">
        <w:rPr>
          <w:rFonts w:ascii="Times New Roman" w:hAnsi="Times New Roman" w:cs="Times New Roman"/>
          <w:color w:val="auto"/>
          <w:sz w:val="22"/>
        </w:rPr>
        <w:instrText>ADDIN CSL_CITATION {"citationItems":[{"id":"ITEM-1","itemData":{"DOI":"10.1002/9783527611119","ISBN":"9783527312207","abstract":"An immense treasure trove containing hundreds of equipment symptoms, arranged so as to allow swift identification and elimination of the causes. These rules of thumb are the result of preserving and structuring the immense knowledge of experienced engineers collected and compiled by the author - an experienced engineer himself - into an invaluable book that helps younger engineers find their way from symptoms to causes. This sourcebook is unrivalled in its depth and breadth of coverage, listing five important aspects for each piece of equipment: Area of application. Sizing guidelines. Capital cost including difficult-to-find installation factors. Principles of good practice, and good approaches to troubleshooting. Extensive cross-referencing takes into account that some items of equipment are used for many different purposes, and covers not only the most familiar types, but special care has been taken to also include less common ones. Consistent terminology and SI units are used throughout the book, while a detailed index quickly and reliably directs readers, thus aiding engineers in their everyday work at chemical plants: from keywords to solutions in a matter of minutes. © 2007 Wiley-VCH Verlag GmbH &amp; Co. KGaA.","author":[{"dropping-particle":"","family":"Woods","given":"Donald R.","non-dropping-particle":"","parse-names":false,"suffix":""}],"container-title":"Rules of Thumb in Engineering Practice","id":"ITEM-1","issued":{"date-parts":[["2007","5","10"]]},"page":"1-458","publisher":"Wiley-VCH","title":"Rules of Thumb in Engineering Practice","type":"article-journal"},"uris":["http://www.mendeley.com/documents/?uuid=e8d389a0-8a7c-34ed-ae04-78f541645046"]}],"mendeley":{"formattedCitation":"&lt;sup&gt;1&lt;/sup&gt;","plainTextFormattedCitation":"1"},"properties":{"noteIndex":0},"schema":"https://github.com/citation-style-language/schema/raw/master/csl-citation.json"}</w:instrText>
      </w:r>
      <w:r w:rsidR="002E2232" w:rsidRPr="004D60D8">
        <w:rPr>
          <w:rFonts w:ascii="Times New Roman" w:hAnsi="Times New Roman" w:cs="Times New Roman"/>
          <w:color w:val="auto"/>
          <w:sz w:val="22"/>
        </w:rPr>
        <w:fldChar w:fldCharType="separate"/>
      </w:r>
      <w:r w:rsidR="002E2232" w:rsidRPr="004D60D8">
        <w:rPr>
          <w:rFonts w:ascii="Times New Roman" w:hAnsi="Times New Roman" w:cs="Times New Roman"/>
          <w:i w:val="0"/>
          <w:noProof/>
          <w:color w:val="auto"/>
          <w:sz w:val="22"/>
          <w:vertAlign w:val="superscript"/>
        </w:rPr>
        <w:t>1</w:t>
      </w:r>
      <w:r w:rsidR="002E2232" w:rsidRPr="004D60D8">
        <w:rPr>
          <w:rFonts w:ascii="Times New Roman" w:hAnsi="Times New Roman" w:cs="Times New Roman"/>
          <w:color w:val="auto"/>
          <w:sz w:val="22"/>
        </w:rPr>
        <w:fldChar w:fldCharType="end"/>
      </w:r>
      <w:r w:rsidRPr="004D60D8">
        <w:rPr>
          <w:rFonts w:ascii="Times New Roman" w:hAnsi="Times New Roman" w:cs="Times New Roman"/>
          <w:color w:val="auto"/>
          <w:sz w:val="22"/>
        </w:rPr>
        <w:t xml:space="preserve"> unless noted otherwise.</w:t>
      </w:r>
      <w:bookmarkEnd w:id="6"/>
    </w:p>
    <w:tbl>
      <w:tblPr>
        <w:tblW w:w="0" w:type="auto"/>
        <w:tblInd w:w="-5" w:type="dxa"/>
        <w:tblLook w:val="04A0" w:firstRow="1" w:lastRow="0" w:firstColumn="1" w:lastColumn="0" w:noHBand="0" w:noVBand="1"/>
      </w:tblPr>
      <w:tblGrid>
        <w:gridCol w:w="2998"/>
        <w:gridCol w:w="2601"/>
        <w:gridCol w:w="1324"/>
        <w:gridCol w:w="2432"/>
      </w:tblGrid>
      <w:tr w:rsidR="007E2130" w:rsidRPr="00415046" w14:paraId="5B2F332C" w14:textId="77777777" w:rsidTr="007E2130">
        <w:trPr>
          <w:trHeight w:val="56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DD0796C"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Process Unit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1CF17C5"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Process Unit Scaling Basis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0CFE45E"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Scaling Exponent</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278B11B" w14:textId="77777777" w:rsidR="007E2130" w:rsidRPr="00415046" w:rsidRDefault="007E2130"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Comments</w:t>
            </w:r>
          </w:p>
        </w:tc>
      </w:tr>
      <w:tr w:rsidR="007E2130" w:rsidRPr="00415046" w14:paraId="7EDF9507"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CAFB12"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Major Equipment Cost</w:t>
            </w:r>
          </w:p>
        </w:tc>
        <w:tc>
          <w:tcPr>
            <w:tcW w:w="0" w:type="auto"/>
            <w:tcBorders>
              <w:top w:val="nil"/>
              <w:left w:val="nil"/>
              <w:bottom w:val="single" w:sz="4" w:space="0" w:color="auto"/>
              <w:right w:val="single" w:sz="4" w:space="0" w:color="auto"/>
            </w:tcBorders>
            <w:shd w:val="clear" w:color="auto" w:fill="auto"/>
            <w:vAlign w:val="center"/>
            <w:hideMark/>
          </w:tcPr>
          <w:p w14:paraId="520EC472"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1B931A44"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756355CD" w14:textId="77777777" w:rsidR="007E2130" w:rsidRPr="00415046" w:rsidRDefault="007E2130"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r>
      <w:tr w:rsidR="007E2130" w:rsidRPr="00415046" w14:paraId="68F73989"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651B9C"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Hydrogenation System</w:t>
            </w:r>
          </w:p>
        </w:tc>
        <w:tc>
          <w:tcPr>
            <w:tcW w:w="0" w:type="auto"/>
            <w:tcBorders>
              <w:top w:val="nil"/>
              <w:left w:val="nil"/>
              <w:bottom w:val="single" w:sz="4" w:space="0" w:color="auto"/>
              <w:right w:val="single" w:sz="4" w:space="0" w:color="auto"/>
            </w:tcBorders>
            <w:shd w:val="clear" w:color="auto" w:fill="auto"/>
            <w:vAlign w:val="center"/>
            <w:hideMark/>
          </w:tcPr>
          <w:p w14:paraId="5BE1296E"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67FF412B" w14:textId="77777777" w:rsidR="007E2130" w:rsidRPr="00415046" w:rsidRDefault="007E2130" w:rsidP="007E2130">
            <w:pPr>
              <w:spacing w:line="240" w:lineRule="auto"/>
              <w:jc w:val="center"/>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4673F127" w14:textId="77777777" w:rsidR="007E2130" w:rsidRPr="00415046" w:rsidRDefault="007E2130"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 </w:t>
            </w:r>
          </w:p>
        </w:tc>
      </w:tr>
      <w:tr w:rsidR="007E2130" w:rsidRPr="00415046" w14:paraId="4CB9ADB0"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F672AD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Feed Pump</w:t>
            </w:r>
          </w:p>
        </w:tc>
        <w:tc>
          <w:tcPr>
            <w:tcW w:w="0" w:type="auto"/>
            <w:tcBorders>
              <w:top w:val="nil"/>
              <w:left w:val="nil"/>
              <w:bottom w:val="single" w:sz="4" w:space="0" w:color="auto"/>
              <w:right w:val="single" w:sz="4" w:space="0" w:color="auto"/>
            </w:tcBorders>
            <w:shd w:val="clear" w:color="auto" w:fill="auto"/>
            <w:noWrap/>
            <w:vAlign w:val="center"/>
            <w:hideMark/>
          </w:tcPr>
          <w:p w14:paraId="63E34D6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221E27D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79EB2364"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4B077E94"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49043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Circulation Pump</w:t>
            </w:r>
          </w:p>
        </w:tc>
        <w:tc>
          <w:tcPr>
            <w:tcW w:w="0" w:type="auto"/>
            <w:tcBorders>
              <w:top w:val="nil"/>
              <w:left w:val="nil"/>
              <w:bottom w:val="single" w:sz="4" w:space="0" w:color="auto"/>
              <w:right w:val="single" w:sz="4" w:space="0" w:color="auto"/>
            </w:tcBorders>
            <w:shd w:val="clear" w:color="auto" w:fill="auto"/>
            <w:noWrap/>
            <w:vAlign w:val="center"/>
            <w:hideMark/>
          </w:tcPr>
          <w:p w14:paraId="2E34870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302DF755"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6E764A26"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23CF8AFC"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98FC775"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to Storage Pump</w:t>
            </w:r>
          </w:p>
        </w:tc>
        <w:tc>
          <w:tcPr>
            <w:tcW w:w="0" w:type="auto"/>
            <w:tcBorders>
              <w:top w:val="nil"/>
              <w:left w:val="nil"/>
              <w:bottom w:val="single" w:sz="4" w:space="0" w:color="auto"/>
              <w:right w:val="single" w:sz="4" w:space="0" w:color="auto"/>
            </w:tcBorders>
            <w:shd w:val="clear" w:color="auto" w:fill="auto"/>
            <w:noWrap/>
            <w:vAlign w:val="center"/>
            <w:hideMark/>
          </w:tcPr>
          <w:p w14:paraId="1BE3CF9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0D9F7F8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3AECA700"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6A31AC44"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13B32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 Recycle Compressor</w:t>
            </w:r>
          </w:p>
        </w:tc>
        <w:tc>
          <w:tcPr>
            <w:tcW w:w="0" w:type="auto"/>
            <w:tcBorders>
              <w:top w:val="nil"/>
              <w:left w:val="nil"/>
              <w:bottom w:val="single" w:sz="4" w:space="0" w:color="auto"/>
              <w:right w:val="single" w:sz="4" w:space="0" w:color="auto"/>
            </w:tcBorders>
            <w:shd w:val="clear" w:color="auto" w:fill="auto"/>
            <w:noWrap/>
            <w:vAlign w:val="center"/>
            <w:hideMark/>
          </w:tcPr>
          <w:p w14:paraId="4ACD7FB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48A97C80"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0.9</w:t>
            </w:r>
          </w:p>
        </w:tc>
        <w:tc>
          <w:tcPr>
            <w:tcW w:w="0" w:type="auto"/>
            <w:tcBorders>
              <w:top w:val="nil"/>
              <w:left w:val="nil"/>
              <w:bottom w:val="single" w:sz="4" w:space="0" w:color="auto"/>
              <w:right w:val="single" w:sz="4" w:space="0" w:color="auto"/>
            </w:tcBorders>
            <w:shd w:val="clear" w:color="auto" w:fill="auto"/>
            <w:vAlign w:val="center"/>
            <w:hideMark/>
          </w:tcPr>
          <w:p w14:paraId="291A1F5B"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compressor</w:t>
            </w:r>
          </w:p>
        </w:tc>
      </w:tr>
      <w:tr w:rsidR="007E2130" w:rsidRPr="00415046" w14:paraId="72030B72"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EAA8E1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Flare Air Blower</w:t>
            </w:r>
          </w:p>
        </w:tc>
        <w:tc>
          <w:tcPr>
            <w:tcW w:w="0" w:type="auto"/>
            <w:tcBorders>
              <w:top w:val="nil"/>
              <w:left w:val="nil"/>
              <w:bottom w:val="single" w:sz="4" w:space="0" w:color="auto"/>
              <w:right w:val="single" w:sz="4" w:space="0" w:color="auto"/>
            </w:tcBorders>
            <w:shd w:val="clear" w:color="auto" w:fill="auto"/>
            <w:noWrap/>
            <w:vAlign w:val="center"/>
            <w:hideMark/>
          </w:tcPr>
          <w:p w14:paraId="401AA71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598995F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0.61</w:t>
            </w:r>
          </w:p>
        </w:tc>
        <w:tc>
          <w:tcPr>
            <w:tcW w:w="0" w:type="auto"/>
            <w:tcBorders>
              <w:top w:val="nil"/>
              <w:left w:val="nil"/>
              <w:bottom w:val="single" w:sz="4" w:space="0" w:color="auto"/>
              <w:right w:val="single" w:sz="4" w:space="0" w:color="auto"/>
            </w:tcBorders>
            <w:shd w:val="clear" w:color="auto" w:fill="auto"/>
            <w:vAlign w:val="center"/>
            <w:hideMark/>
          </w:tcPr>
          <w:p w14:paraId="0E4B18C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blower</w:t>
            </w:r>
          </w:p>
        </w:tc>
      </w:tr>
      <w:tr w:rsidR="007E2130" w:rsidRPr="00415046" w14:paraId="51C7F4A8"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9DAFD3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Hydrogenation Reactor</w:t>
            </w:r>
          </w:p>
        </w:tc>
        <w:tc>
          <w:tcPr>
            <w:tcW w:w="0" w:type="auto"/>
            <w:tcBorders>
              <w:top w:val="nil"/>
              <w:left w:val="nil"/>
              <w:bottom w:val="single" w:sz="4" w:space="0" w:color="auto"/>
              <w:right w:val="single" w:sz="4" w:space="0" w:color="auto"/>
            </w:tcBorders>
            <w:shd w:val="clear" w:color="auto" w:fill="auto"/>
            <w:noWrap/>
            <w:vAlign w:val="center"/>
            <w:hideMark/>
          </w:tcPr>
          <w:p w14:paraId="6131EB7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Catalyst Volume, m</w:t>
            </w:r>
            <w:r w:rsidRPr="00415046">
              <w:rPr>
                <w:rFonts w:ascii="Times New Roman" w:eastAsia="Times New Roman" w:hAnsi="Times New Roman" w:cs="Times New Roman"/>
                <w:color w:val="000000"/>
                <w:vertAlign w:val="superscript"/>
                <w:lang w:val="en-US"/>
              </w:rPr>
              <w:t>3</w:t>
            </w:r>
          </w:p>
        </w:tc>
        <w:tc>
          <w:tcPr>
            <w:tcW w:w="0" w:type="auto"/>
            <w:tcBorders>
              <w:top w:val="nil"/>
              <w:left w:val="nil"/>
              <w:bottom w:val="single" w:sz="4" w:space="0" w:color="auto"/>
              <w:right w:val="single" w:sz="4" w:space="0" w:color="auto"/>
            </w:tcBorders>
            <w:shd w:val="clear" w:color="auto" w:fill="auto"/>
            <w:noWrap/>
            <w:vAlign w:val="center"/>
            <w:hideMark/>
          </w:tcPr>
          <w:p w14:paraId="532434F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0.68</w:t>
            </w:r>
          </w:p>
        </w:tc>
        <w:tc>
          <w:tcPr>
            <w:tcW w:w="0" w:type="auto"/>
            <w:tcBorders>
              <w:top w:val="nil"/>
              <w:left w:val="nil"/>
              <w:bottom w:val="single" w:sz="4" w:space="0" w:color="auto"/>
              <w:right w:val="single" w:sz="4" w:space="0" w:color="auto"/>
            </w:tcBorders>
            <w:shd w:val="clear" w:color="auto" w:fill="auto"/>
            <w:vAlign w:val="center"/>
            <w:hideMark/>
          </w:tcPr>
          <w:p w14:paraId="2F119D30"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Multi tubular reactor</w:t>
            </w:r>
          </w:p>
        </w:tc>
      </w:tr>
      <w:tr w:rsidR="007E2130" w:rsidRPr="00415046" w14:paraId="6773DDFA"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01B00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Condenser</w:t>
            </w:r>
          </w:p>
        </w:tc>
        <w:tc>
          <w:tcPr>
            <w:tcW w:w="0" w:type="auto"/>
            <w:tcBorders>
              <w:top w:val="nil"/>
              <w:left w:val="nil"/>
              <w:bottom w:val="single" w:sz="4" w:space="0" w:color="auto"/>
              <w:right w:val="single" w:sz="4" w:space="0" w:color="auto"/>
            </w:tcBorders>
            <w:shd w:val="clear" w:color="auto" w:fill="auto"/>
            <w:noWrap/>
            <w:vAlign w:val="center"/>
            <w:hideMark/>
          </w:tcPr>
          <w:p w14:paraId="7ECB55C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59A5E37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0.39</w:t>
            </w:r>
          </w:p>
        </w:tc>
        <w:tc>
          <w:tcPr>
            <w:tcW w:w="0" w:type="auto"/>
            <w:tcBorders>
              <w:top w:val="nil"/>
              <w:left w:val="nil"/>
              <w:bottom w:val="single" w:sz="4" w:space="0" w:color="auto"/>
              <w:right w:val="single" w:sz="4" w:space="0" w:color="auto"/>
            </w:tcBorders>
            <w:shd w:val="clear" w:color="auto" w:fill="auto"/>
            <w:vAlign w:val="center"/>
            <w:hideMark/>
          </w:tcPr>
          <w:p w14:paraId="4C1547E4"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air cooled exchanger</w:t>
            </w:r>
          </w:p>
        </w:tc>
      </w:tr>
      <w:tr w:rsidR="007E2130" w:rsidRPr="00415046" w14:paraId="459AB598"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17AC1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 Preheater</w:t>
            </w:r>
          </w:p>
        </w:tc>
        <w:tc>
          <w:tcPr>
            <w:tcW w:w="0" w:type="auto"/>
            <w:tcBorders>
              <w:top w:val="nil"/>
              <w:left w:val="nil"/>
              <w:bottom w:val="single" w:sz="4" w:space="0" w:color="auto"/>
              <w:right w:val="single" w:sz="4" w:space="0" w:color="auto"/>
            </w:tcBorders>
            <w:shd w:val="clear" w:color="auto" w:fill="auto"/>
            <w:noWrap/>
            <w:vAlign w:val="center"/>
            <w:hideMark/>
          </w:tcPr>
          <w:p w14:paraId="1E31DA41"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798EB8AA"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0.71</w:t>
            </w:r>
          </w:p>
        </w:tc>
        <w:tc>
          <w:tcPr>
            <w:tcW w:w="0" w:type="auto"/>
            <w:tcBorders>
              <w:top w:val="nil"/>
              <w:left w:val="nil"/>
              <w:bottom w:val="single" w:sz="4" w:space="0" w:color="auto"/>
              <w:right w:val="single" w:sz="4" w:space="0" w:color="auto"/>
            </w:tcBorders>
            <w:shd w:val="clear" w:color="auto" w:fill="auto"/>
            <w:vAlign w:val="center"/>
            <w:hideMark/>
          </w:tcPr>
          <w:p w14:paraId="734F55C7"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shell tube exchanger</w:t>
            </w:r>
          </w:p>
        </w:tc>
      </w:tr>
      <w:tr w:rsidR="007E2130" w:rsidRPr="00415046" w14:paraId="1A878E55"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355D43"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Condenser</w:t>
            </w:r>
          </w:p>
        </w:tc>
        <w:tc>
          <w:tcPr>
            <w:tcW w:w="0" w:type="auto"/>
            <w:tcBorders>
              <w:top w:val="nil"/>
              <w:left w:val="nil"/>
              <w:bottom w:val="single" w:sz="4" w:space="0" w:color="auto"/>
              <w:right w:val="single" w:sz="4" w:space="0" w:color="auto"/>
            </w:tcBorders>
            <w:shd w:val="clear" w:color="auto" w:fill="auto"/>
            <w:noWrap/>
            <w:vAlign w:val="center"/>
            <w:hideMark/>
          </w:tcPr>
          <w:p w14:paraId="2947B36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3EBA24A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0.39</w:t>
            </w:r>
          </w:p>
        </w:tc>
        <w:tc>
          <w:tcPr>
            <w:tcW w:w="0" w:type="auto"/>
            <w:tcBorders>
              <w:top w:val="nil"/>
              <w:left w:val="nil"/>
              <w:bottom w:val="single" w:sz="4" w:space="0" w:color="auto"/>
              <w:right w:val="single" w:sz="4" w:space="0" w:color="auto"/>
            </w:tcBorders>
            <w:shd w:val="clear" w:color="auto" w:fill="auto"/>
            <w:vAlign w:val="center"/>
            <w:hideMark/>
          </w:tcPr>
          <w:p w14:paraId="061CD0EB"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air cooled exchanger</w:t>
            </w:r>
          </w:p>
        </w:tc>
      </w:tr>
      <w:tr w:rsidR="007E2130" w:rsidRPr="00415046" w14:paraId="0B59FFA7"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D6C06E1"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Flash Gas Condenser</w:t>
            </w:r>
          </w:p>
        </w:tc>
        <w:tc>
          <w:tcPr>
            <w:tcW w:w="0" w:type="auto"/>
            <w:tcBorders>
              <w:top w:val="nil"/>
              <w:left w:val="nil"/>
              <w:bottom w:val="single" w:sz="4" w:space="0" w:color="auto"/>
              <w:right w:val="single" w:sz="4" w:space="0" w:color="auto"/>
            </w:tcBorders>
            <w:shd w:val="clear" w:color="auto" w:fill="auto"/>
            <w:noWrap/>
            <w:vAlign w:val="center"/>
            <w:hideMark/>
          </w:tcPr>
          <w:p w14:paraId="1450C1D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79289E8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0.71</w:t>
            </w:r>
          </w:p>
        </w:tc>
        <w:tc>
          <w:tcPr>
            <w:tcW w:w="0" w:type="auto"/>
            <w:tcBorders>
              <w:top w:val="nil"/>
              <w:left w:val="nil"/>
              <w:bottom w:val="single" w:sz="4" w:space="0" w:color="auto"/>
              <w:right w:val="single" w:sz="4" w:space="0" w:color="auto"/>
            </w:tcBorders>
            <w:shd w:val="clear" w:color="auto" w:fill="auto"/>
            <w:vAlign w:val="center"/>
            <w:hideMark/>
          </w:tcPr>
          <w:p w14:paraId="2657A4C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shell tube exchanger</w:t>
            </w:r>
          </w:p>
        </w:tc>
      </w:tr>
      <w:tr w:rsidR="007E2130" w:rsidRPr="00415046" w14:paraId="00355159"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6B15F78"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Steam Drum</w:t>
            </w:r>
          </w:p>
        </w:tc>
        <w:tc>
          <w:tcPr>
            <w:tcW w:w="0" w:type="auto"/>
            <w:tcBorders>
              <w:top w:val="nil"/>
              <w:left w:val="nil"/>
              <w:bottom w:val="single" w:sz="4" w:space="0" w:color="auto"/>
              <w:right w:val="single" w:sz="4" w:space="0" w:color="auto"/>
            </w:tcBorders>
            <w:shd w:val="clear" w:color="auto" w:fill="auto"/>
            <w:noWrap/>
            <w:vAlign w:val="center"/>
            <w:hideMark/>
          </w:tcPr>
          <w:p w14:paraId="2DA8421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2AFCD28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4025AB9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 </w:t>
            </w:r>
          </w:p>
        </w:tc>
      </w:tr>
      <w:tr w:rsidR="007E2130" w:rsidRPr="00415046" w14:paraId="1C3A12FC"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7E765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HP KO Drum</w:t>
            </w:r>
          </w:p>
        </w:tc>
        <w:tc>
          <w:tcPr>
            <w:tcW w:w="0" w:type="auto"/>
            <w:tcBorders>
              <w:top w:val="nil"/>
              <w:left w:val="nil"/>
              <w:bottom w:val="single" w:sz="4" w:space="0" w:color="auto"/>
              <w:right w:val="single" w:sz="4" w:space="0" w:color="auto"/>
            </w:tcBorders>
            <w:shd w:val="clear" w:color="auto" w:fill="auto"/>
            <w:noWrap/>
            <w:vAlign w:val="center"/>
            <w:hideMark/>
          </w:tcPr>
          <w:p w14:paraId="468F75A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08A13B6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2C7193A6"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282D4AE3"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F7128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LP Flash Drum</w:t>
            </w:r>
          </w:p>
        </w:tc>
        <w:tc>
          <w:tcPr>
            <w:tcW w:w="0" w:type="auto"/>
            <w:tcBorders>
              <w:top w:val="nil"/>
              <w:left w:val="nil"/>
              <w:bottom w:val="single" w:sz="4" w:space="0" w:color="auto"/>
              <w:right w:val="single" w:sz="4" w:space="0" w:color="auto"/>
            </w:tcBorders>
            <w:shd w:val="clear" w:color="auto" w:fill="auto"/>
            <w:noWrap/>
            <w:vAlign w:val="center"/>
            <w:hideMark/>
          </w:tcPr>
          <w:p w14:paraId="738FB69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6B5C92F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5980403D"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7FC1B8CD"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9EC16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proofErr w:type="spellStart"/>
            <w:r w:rsidRPr="00415046">
              <w:rPr>
                <w:rFonts w:ascii="Times New Roman" w:eastAsia="Times New Roman" w:hAnsi="Times New Roman" w:cs="Times New Roman"/>
                <w:color w:val="000000"/>
                <w:lang w:val="en-US"/>
              </w:rPr>
              <w:t>Flashgas</w:t>
            </w:r>
            <w:proofErr w:type="spellEnd"/>
            <w:r w:rsidRPr="00415046">
              <w:rPr>
                <w:rFonts w:ascii="Times New Roman" w:eastAsia="Times New Roman" w:hAnsi="Times New Roman" w:cs="Times New Roman"/>
                <w:color w:val="000000"/>
                <w:lang w:val="en-US"/>
              </w:rPr>
              <w:t xml:space="preserve"> KO Drum</w:t>
            </w:r>
          </w:p>
        </w:tc>
        <w:tc>
          <w:tcPr>
            <w:tcW w:w="0" w:type="auto"/>
            <w:tcBorders>
              <w:top w:val="nil"/>
              <w:left w:val="nil"/>
              <w:bottom w:val="single" w:sz="4" w:space="0" w:color="auto"/>
              <w:right w:val="single" w:sz="4" w:space="0" w:color="auto"/>
            </w:tcBorders>
            <w:shd w:val="clear" w:color="auto" w:fill="auto"/>
            <w:noWrap/>
            <w:vAlign w:val="center"/>
            <w:hideMark/>
          </w:tcPr>
          <w:p w14:paraId="216F601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48C5548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55498009"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4133D339"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5DB810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Flare</w:t>
            </w:r>
          </w:p>
        </w:tc>
        <w:tc>
          <w:tcPr>
            <w:tcW w:w="0" w:type="auto"/>
            <w:tcBorders>
              <w:top w:val="nil"/>
              <w:left w:val="nil"/>
              <w:bottom w:val="single" w:sz="4" w:space="0" w:color="auto"/>
              <w:right w:val="single" w:sz="4" w:space="0" w:color="auto"/>
            </w:tcBorders>
            <w:shd w:val="clear" w:color="auto" w:fill="auto"/>
            <w:noWrap/>
            <w:vAlign w:val="center"/>
            <w:hideMark/>
          </w:tcPr>
          <w:p w14:paraId="10F149B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Gas Flow, m</w:t>
            </w:r>
            <w:r w:rsidRPr="00415046">
              <w:rPr>
                <w:rFonts w:ascii="Times New Roman" w:eastAsia="Times New Roman" w:hAnsi="Times New Roman" w:cs="Times New Roman"/>
                <w:color w:val="000000"/>
                <w:vertAlign w:val="superscript"/>
                <w:lang w:val="en-US"/>
              </w:rPr>
              <w:t>3</w:t>
            </w:r>
            <w:r w:rsidRPr="00415046">
              <w:rPr>
                <w:rFonts w:ascii="Times New Roman" w:eastAsia="Times New Roman" w:hAnsi="Times New Roman" w:cs="Times New Roman"/>
                <w:color w:val="000000"/>
                <w:lang w:val="en-US"/>
              </w:rPr>
              <w:t>/s</w:t>
            </w:r>
          </w:p>
        </w:tc>
        <w:tc>
          <w:tcPr>
            <w:tcW w:w="0" w:type="auto"/>
            <w:tcBorders>
              <w:top w:val="nil"/>
              <w:left w:val="nil"/>
              <w:bottom w:val="single" w:sz="4" w:space="0" w:color="auto"/>
              <w:right w:val="single" w:sz="4" w:space="0" w:color="auto"/>
            </w:tcBorders>
            <w:shd w:val="clear" w:color="auto" w:fill="auto"/>
            <w:noWrap/>
            <w:vAlign w:val="center"/>
            <w:hideMark/>
          </w:tcPr>
          <w:p w14:paraId="13A52A4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w:t>
            </w:r>
          </w:p>
        </w:tc>
        <w:tc>
          <w:tcPr>
            <w:tcW w:w="0" w:type="auto"/>
            <w:tcBorders>
              <w:top w:val="nil"/>
              <w:left w:val="nil"/>
              <w:bottom w:val="single" w:sz="4" w:space="0" w:color="auto"/>
              <w:right w:val="single" w:sz="4" w:space="0" w:color="auto"/>
            </w:tcBorders>
            <w:shd w:val="clear" w:color="auto" w:fill="auto"/>
            <w:vAlign w:val="center"/>
            <w:hideMark/>
          </w:tcPr>
          <w:p w14:paraId="42549062"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exponent guessed</w:t>
            </w:r>
          </w:p>
        </w:tc>
      </w:tr>
      <w:tr w:rsidR="007E2130" w:rsidRPr="00415046" w14:paraId="2D414109"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C3B007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Startup Heat System</w:t>
            </w:r>
          </w:p>
        </w:tc>
        <w:tc>
          <w:tcPr>
            <w:tcW w:w="0" w:type="auto"/>
            <w:tcBorders>
              <w:top w:val="nil"/>
              <w:left w:val="nil"/>
              <w:bottom w:val="single" w:sz="4" w:space="0" w:color="auto"/>
              <w:right w:val="single" w:sz="4" w:space="0" w:color="auto"/>
            </w:tcBorders>
            <w:shd w:val="clear" w:color="auto" w:fill="auto"/>
            <w:noWrap/>
            <w:vAlign w:val="center"/>
            <w:hideMark/>
          </w:tcPr>
          <w:p w14:paraId="7E8D5EA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Hydrogenation Capacity</w:t>
            </w:r>
          </w:p>
        </w:tc>
        <w:tc>
          <w:tcPr>
            <w:tcW w:w="0" w:type="auto"/>
            <w:tcBorders>
              <w:top w:val="nil"/>
              <w:left w:val="nil"/>
              <w:bottom w:val="single" w:sz="4" w:space="0" w:color="auto"/>
              <w:right w:val="single" w:sz="4" w:space="0" w:color="auto"/>
            </w:tcBorders>
            <w:shd w:val="clear" w:color="auto" w:fill="auto"/>
            <w:noWrap/>
            <w:vAlign w:val="center"/>
            <w:hideMark/>
          </w:tcPr>
          <w:p w14:paraId="1075C221"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10A53725"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w:t>
            </w:r>
            <w:proofErr w:type="spellStart"/>
            <w:r w:rsidRPr="00415046">
              <w:rPr>
                <w:rFonts w:ascii="Times New Roman" w:eastAsia="Times New Roman" w:hAnsi="Times New Roman" w:cs="Times New Roman"/>
                <w:color w:val="000000"/>
                <w:lang w:val="en-US"/>
              </w:rPr>
              <w:t>Dowtherm</w:t>
            </w:r>
            <w:proofErr w:type="spellEnd"/>
            <w:r w:rsidRPr="00415046">
              <w:rPr>
                <w:rFonts w:ascii="Times New Roman" w:eastAsia="Times New Roman" w:hAnsi="Times New Roman" w:cs="Times New Roman"/>
                <w:color w:val="000000"/>
                <w:lang w:val="en-US"/>
              </w:rPr>
              <w:t xml:space="preserve"> Furnace</w:t>
            </w:r>
          </w:p>
        </w:tc>
      </w:tr>
      <w:tr w:rsidR="007E2130" w:rsidRPr="00415046" w14:paraId="0FF3FBAE"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B68D1C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Dehydrogenation System</w:t>
            </w:r>
          </w:p>
        </w:tc>
        <w:tc>
          <w:tcPr>
            <w:tcW w:w="0" w:type="auto"/>
            <w:tcBorders>
              <w:top w:val="nil"/>
              <w:left w:val="nil"/>
              <w:bottom w:val="single" w:sz="4" w:space="0" w:color="auto"/>
              <w:right w:val="single" w:sz="4" w:space="0" w:color="auto"/>
            </w:tcBorders>
            <w:shd w:val="clear" w:color="auto" w:fill="auto"/>
            <w:noWrap/>
            <w:vAlign w:val="center"/>
            <w:hideMark/>
          </w:tcPr>
          <w:p w14:paraId="3F43D100"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7B5B87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0172109D"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r>
      <w:tr w:rsidR="007E2130" w:rsidRPr="00415046" w14:paraId="7D363BEE"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AEED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Feed Pump</w:t>
            </w:r>
          </w:p>
        </w:tc>
        <w:tc>
          <w:tcPr>
            <w:tcW w:w="0" w:type="auto"/>
            <w:tcBorders>
              <w:top w:val="nil"/>
              <w:left w:val="nil"/>
              <w:bottom w:val="single" w:sz="4" w:space="0" w:color="auto"/>
              <w:right w:val="single" w:sz="4" w:space="0" w:color="auto"/>
            </w:tcBorders>
            <w:shd w:val="clear" w:color="auto" w:fill="auto"/>
            <w:noWrap/>
            <w:vAlign w:val="center"/>
            <w:hideMark/>
          </w:tcPr>
          <w:p w14:paraId="247AA9E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10D3FC2A"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2F7D83CE"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7F6D5E9E"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4A6039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to Storage Pump</w:t>
            </w:r>
          </w:p>
        </w:tc>
        <w:tc>
          <w:tcPr>
            <w:tcW w:w="0" w:type="auto"/>
            <w:tcBorders>
              <w:top w:val="nil"/>
              <w:left w:val="nil"/>
              <w:bottom w:val="single" w:sz="4" w:space="0" w:color="auto"/>
              <w:right w:val="single" w:sz="4" w:space="0" w:color="auto"/>
            </w:tcBorders>
            <w:shd w:val="clear" w:color="auto" w:fill="auto"/>
            <w:noWrap/>
            <w:vAlign w:val="center"/>
            <w:hideMark/>
          </w:tcPr>
          <w:p w14:paraId="0FE4D6A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590AB45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0AB5E70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0DC0BB94"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1D3DA7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BFW Pump</w:t>
            </w:r>
          </w:p>
        </w:tc>
        <w:tc>
          <w:tcPr>
            <w:tcW w:w="0" w:type="auto"/>
            <w:tcBorders>
              <w:top w:val="nil"/>
              <w:left w:val="nil"/>
              <w:bottom w:val="single" w:sz="4" w:space="0" w:color="auto"/>
              <w:right w:val="single" w:sz="4" w:space="0" w:color="auto"/>
            </w:tcBorders>
            <w:shd w:val="clear" w:color="auto" w:fill="auto"/>
            <w:noWrap/>
            <w:vAlign w:val="center"/>
            <w:hideMark/>
          </w:tcPr>
          <w:p w14:paraId="577200C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4B95509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0.79</w:t>
            </w:r>
          </w:p>
        </w:tc>
        <w:tc>
          <w:tcPr>
            <w:tcW w:w="0" w:type="auto"/>
            <w:tcBorders>
              <w:top w:val="nil"/>
              <w:left w:val="nil"/>
              <w:bottom w:val="single" w:sz="4" w:space="0" w:color="auto"/>
              <w:right w:val="single" w:sz="4" w:space="0" w:color="auto"/>
            </w:tcBorders>
            <w:shd w:val="clear" w:color="auto" w:fill="auto"/>
            <w:vAlign w:val="center"/>
            <w:hideMark/>
          </w:tcPr>
          <w:p w14:paraId="3A41EA27"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pump AVS</w:t>
            </w:r>
          </w:p>
        </w:tc>
      </w:tr>
      <w:tr w:rsidR="007E2130" w:rsidRPr="00415046" w14:paraId="08A87869"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5E8D55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 Compressor</w:t>
            </w:r>
          </w:p>
        </w:tc>
        <w:tc>
          <w:tcPr>
            <w:tcW w:w="0" w:type="auto"/>
            <w:tcBorders>
              <w:top w:val="nil"/>
              <w:left w:val="nil"/>
              <w:bottom w:val="single" w:sz="4" w:space="0" w:color="auto"/>
              <w:right w:val="single" w:sz="4" w:space="0" w:color="auto"/>
            </w:tcBorders>
            <w:shd w:val="clear" w:color="auto" w:fill="auto"/>
            <w:noWrap/>
            <w:vAlign w:val="center"/>
            <w:hideMark/>
          </w:tcPr>
          <w:p w14:paraId="404D236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6A53F41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0.9</w:t>
            </w:r>
          </w:p>
        </w:tc>
        <w:tc>
          <w:tcPr>
            <w:tcW w:w="0" w:type="auto"/>
            <w:tcBorders>
              <w:top w:val="nil"/>
              <w:left w:val="nil"/>
              <w:bottom w:val="single" w:sz="4" w:space="0" w:color="auto"/>
              <w:right w:val="single" w:sz="4" w:space="0" w:color="auto"/>
            </w:tcBorders>
            <w:shd w:val="clear" w:color="auto" w:fill="auto"/>
            <w:vAlign w:val="center"/>
            <w:hideMark/>
          </w:tcPr>
          <w:p w14:paraId="31C90A9A"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compressor</w:t>
            </w:r>
          </w:p>
        </w:tc>
      </w:tr>
      <w:tr w:rsidR="007E2130" w:rsidRPr="00415046" w14:paraId="31FD2347"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200C0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Boiler Air Blower</w:t>
            </w:r>
          </w:p>
        </w:tc>
        <w:tc>
          <w:tcPr>
            <w:tcW w:w="0" w:type="auto"/>
            <w:tcBorders>
              <w:top w:val="nil"/>
              <w:left w:val="nil"/>
              <w:bottom w:val="single" w:sz="4" w:space="0" w:color="auto"/>
              <w:right w:val="single" w:sz="4" w:space="0" w:color="auto"/>
            </w:tcBorders>
            <w:shd w:val="clear" w:color="auto" w:fill="auto"/>
            <w:noWrap/>
            <w:vAlign w:val="center"/>
            <w:hideMark/>
          </w:tcPr>
          <w:p w14:paraId="627AC8C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Power, kW</w:t>
            </w:r>
          </w:p>
        </w:tc>
        <w:tc>
          <w:tcPr>
            <w:tcW w:w="0" w:type="auto"/>
            <w:tcBorders>
              <w:top w:val="nil"/>
              <w:left w:val="nil"/>
              <w:bottom w:val="single" w:sz="4" w:space="0" w:color="auto"/>
              <w:right w:val="single" w:sz="4" w:space="0" w:color="auto"/>
            </w:tcBorders>
            <w:shd w:val="clear" w:color="auto" w:fill="auto"/>
            <w:noWrap/>
            <w:vAlign w:val="center"/>
            <w:hideMark/>
          </w:tcPr>
          <w:p w14:paraId="1B76534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0.61</w:t>
            </w:r>
          </w:p>
        </w:tc>
        <w:tc>
          <w:tcPr>
            <w:tcW w:w="0" w:type="auto"/>
            <w:tcBorders>
              <w:top w:val="nil"/>
              <w:left w:val="nil"/>
              <w:bottom w:val="single" w:sz="4" w:space="0" w:color="auto"/>
              <w:right w:val="single" w:sz="4" w:space="0" w:color="auto"/>
            </w:tcBorders>
            <w:shd w:val="clear" w:color="auto" w:fill="auto"/>
            <w:vAlign w:val="center"/>
            <w:hideMark/>
          </w:tcPr>
          <w:p w14:paraId="256515A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centrifugal blower</w:t>
            </w:r>
          </w:p>
        </w:tc>
      </w:tr>
      <w:tr w:rsidR="007E2130" w:rsidRPr="00415046" w14:paraId="3205955D"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73F32A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Refrigeration Cycle</w:t>
            </w:r>
          </w:p>
        </w:tc>
        <w:tc>
          <w:tcPr>
            <w:tcW w:w="0" w:type="auto"/>
            <w:tcBorders>
              <w:top w:val="nil"/>
              <w:left w:val="nil"/>
              <w:bottom w:val="single" w:sz="4" w:space="0" w:color="auto"/>
              <w:right w:val="single" w:sz="4" w:space="0" w:color="auto"/>
            </w:tcBorders>
            <w:shd w:val="clear" w:color="auto" w:fill="auto"/>
            <w:noWrap/>
            <w:vAlign w:val="center"/>
            <w:hideMark/>
          </w:tcPr>
          <w:p w14:paraId="2E883FE3"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Cooling Duty, kW</w:t>
            </w:r>
          </w:p>
        </w:tc>
        <w:tc>
          <w:tcPr>
            <w:tcW w:w="0" w:type="auto"/>
            <w:tcBorders>
              <w:top w:val="nil"/>
              <w:left w:val="nil"/>
              <w:bottom w:val="single" w:sz="4" w:space="0" w:color="auto"/>
              <w:right w:val="single" w:sz="4" w:space="0" w:color="auto"/>
            </w:tcBorders>
            <w:shd w:val="clear" w:color="auto" w:fill="auto"/>
            <w:noWrap/>
            <w:vAlign w:val="center"/>
            <w:hideMark/>
          </w:tcPr>
          <w:p w14:paraId="3C07B8EA"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0.77</w:t>
            </w:r>
          </w:p>
        </w:tc>
        <w:tc>
          <w:tcPr>
            <w:tcW w:w="0" w:type="auto"/>
            <w:tcBorders>
              <w:top w:val="nil"/>
              <w:left w:val="nil"/>
              <w:bottom w:val="single" w:sz="4" w:space="0" w:color="auto"/>
              <w:right w:val="single" w:sz="4" w:space="0" w:color="auto"/>
            </w:tcBorders>
            <w:shd w:val="clear" w:color="auto" w:fill="auto"/>
            <w:vAlign w:val="center"/>
            <w:hideMark/>
          </w:tcPr>
          <w:p w14:paraId="0F4DAD7F"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Refrigeration Package Unit</w:t>
            </w:r>
          </w:p>
        </w:tc>
      </w:tr>
      <w:tr w:rsidR="007E2130" w:rsidRPr="00415046" w14:paraId="79643328"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3FDB6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Steam Boiler</w:t>
            </w:r>
          </w:p>
        </w:tc>
        <w:tc>
          <w:tcPr>
            <w:tcW w:w="0" w:type="auto"/>
            <w:tcBorders>
              <w:top w:val="nil"/>
              <w:left w:val="nil"/>
              <w:bottom w:val="single" w:sz="4" w:space="0" w:color="auto"/>
              <w:right w:val="single" w:sz="4" w:space="0" w:color="auto"/>
            </w:tcBorders>
            <w:shd w:val="clear" w:color="auto" w:fill="auto"/>
            <w:noWrap/>
            <w:vAlign w:val="center"/>
            <w:hideMark/>
          </w:tcPr>
          <w:p w14:paraId="7BD1480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Absorbed, MW</w:t>
            </w:r>
          </w:p>
        </w:tc>
        <w:tc>
          <w:tcPr>
            <w:tcW w:w="0" w:type="auto"/>
            <w:tcBorders>
              <w:top w:val="nil"/>
              <w:left w:val="nil"/>
              <w:bottom w:val="single" w:sz="4" w:space="0" w:color="auto"/>
              <w:right w:val="single" w:sz="4" w:space="0" w:color="auto"/>
            </w:tcBorders>
            <w:shd w:val="clear" w:color="auto" w:fill="auto"/>
            <w:noWrap/>
            <w:vAlign w:val="center"/>
            <w:hideMark/>
          </w:tcPr>
          <w:p w14:paraId="26C5ECB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0.59</w:t>
            </w:r>
          </w:p>
        </w:tc>
        <w:tc>
          <w:tcPr>
            <w:tcW w:w="0" w:type="auto"/>
            <w:tcBorders>
              <w:top w:val="nil"/>
              <w:left w:val="nil"/>
              <w:bottom w:val="single" w:sz="4" w:space="0" w:color="auto"/>
              <w:right w:val="single" w:sz="4" w:space="0" w:color="auto"/>
            </w:tcBorders>
            <w:shd w:val="clear" w:color="auto" w:fill="auto"/>
            <w:vAlign w:val="center"/>
            <w:hideMark/>
          </w:tcPr>
          <w:p w14:paraId="121637B7"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Box Furnace Field Erected</w:t>
            </w:r>
          </w:p>
        </w:tc>
      </w:tr>
      <w:tr w:rsidR="007E2130" w:rsidRPr="00415046" w14:paraId="26AD90CE"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0B70E8"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Steam Drum</w:t>
            </w:r>
          </w:p>
        </w:tc>
        <w:tc>
          <w:tcPr>
            <w:tcW w:w="0" w:type="auto"/>
            <w:tcBorders>
              <w:top w:val="nil"/>
              <w:left w:val="nil"/>
              <w:bottom w:val="single" w:sz="4" w:space="0" w:color="auto"/>
              <w:right w:val="single" w:sz="4" w:space="0" w:color="auto"/>
            </w:tcBorders>
            <w:shd w:val="clear" w:color="auto" w:fill="auto"/>
            <w:noWrap/>
            <w:vAlign w:val="center"/>
            <w:hideMark/>
          </w:tcPr>
          <w:p w14:paraId="15F73300"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476C3BC0"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1E3D09C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5EE71B41"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99036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lastRenderedPageBreak/>
              <w:t>Hydrogenation Reactor</w:t>
            </w:r>
          </w:p>
        </w:tc>
        <w:tc>
          <w:tcPr>
            <w:tcW w:w="0" w:type="auto"/>
            <w:tcBorders>
              <w:top w:val="nil"/>
              <w:left w:val="nil"/>
              <w:bottom w:val="single" w:sz="4" w:space="0" w:color="auto"/>
              <w:right w:val="single" w:sz="4" w:space="0" w:color="auto"/>
            </w:tcBorders>
            <w:shd w:val="clear" w:color="auto" w:fill="auto"/>
            <w:noWrap/>
            <w:vAlign w:val="center"/>
            <w:hideMark/>
          </w:tcPr>
          <w:p w14:paraId="68256F9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Catalyst Volume, m</w:t>
            </w:r>
            <w:r w:rsidRPr="00415046">
              <w:rPr>
                <w:rFonts w:ascii="Times New Roman" w:eastAsia="Times New Roman" w:hAnsi="Times New Roman" w:cs="Times New Roman"/>
                <w:color w:val="000000"/>
                <w:vertAlign w:val="superscript"/>
                <w:lang w:val="en-US"/>
              </w:rPr>
              <w:t>3</w:t>
            </w:r>
          </w:p>
        </w:tc>
        <w:tc>
          <w:tcPr>
            <w:tcW w:w="0" w:type="auto"/>
            <w:tcBorders>
              <w:top w:val="nil"/>
              <w:left w:val="nil"/>
              <w:bottom w:val="single" w:sz="4" w:space="0" w:color="auto"/>
              <w:right w:val="single" w:sz="4" w:space="0" w:color="auto"/>
            </w:tcBorders>
            <w:shd w:val="clear" w:color="auto" w:fill="auto"/>
            <w:noWrap/>
            <w:vAlign w:val="center"/>
            <w:hideMark/>
          </w:tcPr>
          <w:p w14:paraId="7F36215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0.68</w:t>
            </w:r>
          </w:p>
        </w:tc>
        <w:tc>
          <w:tcPr>
            <w:tcW w:w="0" w:type="auto"/>
            <w:tcBorders>
              <w:top w:val="nil"/>
              <w:left w:val="nil"/>
              <w:bottom w:val="single" w:sz="4" w:space="0" w:color="auto"/>
              <w:right w:val="single" w:sz="4" w:space="0" w:color="auto"/>
            </w:tcBorders>
            <w:shd w:val="clear" w:color="auto" w:fill="auto"/>
            <w:vAlign w:val="center"/>
            <w:hideMark/>
          </w:tcPr>
          <w:p w14:paraId="5AAAA0C9"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Multi tubular reactor</w:t>
            </w:r>
          </w:p>
        </w:tc>
      </w:tr>
      <w:tr w:rsidR="007E2130" w:rsidRPr="00415046" w14:paraId="3DDFE5C2"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0D7D7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Preheater</w:t>
            </w:r>
          </w:p>
        </w:tc>
        <w:tc>
          <w:tcPr>
            <w:tcW w:w="0" w:type="auto"/>
            <w:tcBorders>
              <w:top w:val="nil"/>
              <w:left w:val="nil"/>
              <w:bottom w:val="single" w:sz="4" w:space="0" w:color="auto"/>
              <w:right w:val="single" w:sz="4" w:space="0" w:color="auto"/>
            </w:tcBorders>
            <w:shd w:val="clear" w:color="auto" w:fill="auto"/>
            <w:noWrap/>
            <w:vAlign w:val="center"/>
            <w:hideMark/>
          </w:tcPr>
          <w:p w14:paraId="1792BA1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72FA9E6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0.71</w:t>
            </w:r>
          </w:p>
        </w:tc>
        <w:tc>
          <w:tcPr>
            <w:tcW w:w="0" w:type="auto"/>
            <w:tcBorders>
              <w:top w:val="nil"/>
              <w:left w:val="nil"/>
              <w:bottom w:val="single" w:sz="4" w:space="0" w:color="auto"/>
              <w:right w:val="single" w:sz="4" w:space="0" w:color="auto"/>
            </w:tcBorders>
            <w:shd w:val="clear" w:color="auto" w:fill="auto"/>
            <w:vAlign w:val="center"/>
            <w:hideMark/>
          </w:tcPr>
          <w:p w14:paraId="139B0A1E"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shell tube exchanger</w:t>
            </w:r>
          </w:p>
        </w:tc>
      </w:tr>
      <w:tr w:rsidR="007E2130" w:rsidRPr="00415046" w14:paraId="5B76B43F"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17E1A8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 </w:t>
            </w:r>
            <w:proofErr w:type="spellStart"/>
            <w:r w:rsidRPr="00415046">
              <w:rPr>
                <w:rFonts w:ascii="Times New Roman" w:eastAsia="Times New Roman" w:hAnsi="Times New Roman" w:cs="Times New Roman"/>
                <w:color w:val="000000"/>
                <w:lang w:val="en-US"/>
              </w:rPr>
              <w:t>Cryo</w:t>
            </w:r>
            <w:proofErr w:type="spellEnd"/>
            <w:r w:rsidRPr="00415046">
              <w:rPr>
                <w:rFonts w:ascii="Times New Roman" w:eastAsia="Times New Roman" w:hAnsi="Times New Roman" w:cs="Times New Roman"/>
                <w:color w:val="000000"/>
                <w:lang w:val="en-US"/>
              </w:rPr>
              <w:t xml:space="preserve"> Cool</w:t>
            </w:r>
          </w:p>
        </w:tc>
        <w:tc>
          <w:tcPr>
            <w:tcW w:w="0" w:type="auto"/>
            <w:tcBorders>
              <w:top w:val="nil"/>
              <w:left w:val="nil"/>
              <w:bottom w:val="single" w:sz="4" w:space="0" w:color="auto"/>
              <w:right w:val="single" w:sz="4" w:space="0" w:color="auto"/>
            </w:tcBorders>
            <w:shd w:val="clear" w:color="auto" w:fill="auto"/>
            <w:noWrap/>
            <w:vAlign w:val="center"/>
            <w:hideMark/>
          </w:tcPr>
          <w:p w14:paraId="6DCD22E1"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71C0108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0.71</w:t>
            </w:r>
          </w:p>
        </w:tc>
        <w:tc>
          <w:tcPr>
            <w:tcW w:w="0" w:type="auto"/>
            <w:tcBorders>
              <w:top w:val="nil"/>
              <w:left w:val="nil"/>
              <w:bottom w:val="single" w:sz="4" w:space="0" w:color="auto"/>
              <w:right w:val="single" w:sz="4" w:space="0" w:color="auto"/>
            </w:tcBorders>
            <w:shd w:val="clear" w:color="auto" w:fill="auto"/>
            <w:vAlign w:val="center"/>
            <w:hideMark/>
          </w:tcPr>
          <w:p w14:paraId="70467EAD"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shell tube exchanger</w:t>
            </w:r>
          </w:p>
        </w:tc>
      </w:tr>
      <w:tr w:rsidR="007E2130" w:rsidRPr="00415046" w14:paraId="1F251DB2"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3EDC96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Condenser 1</w:t>
            </w:r>
          </w:p>
        </w:tc>
        <w:tc>
          <w:tcPr>
            <w:tcW w:w="0" w:type="auto"/>
            <w:tcBorders>
              <w:top w:val="nil"/>
              <w:left w:val="nil"/>
              <w:bottom w:val="single" w:sz="4" w:space="0" w:color="auto"/>
              <w:right w:val="single" w:sz="4" w:space="0" w:color="auto"/>
            </w:tcBorders>
            <w:shd w:val="clear" w:color="auto" w:fill="auto"/>
            <w:noWrap/>
            <w:vAlign w:val="center"/>
            <w:hideMark/>
          </w:tcPr>
          <w:p w14:paraId="04543935"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2E23502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0.39</w:t>
            </w:r>
          </w:p>
        </w:tc>
        <w:tc>
          <w:tcPr>
            <w:tcW w:w="0" w:type="auto"/>
            <w:tcBorders>
              <w:top w:val="nil"/>
              <w:left w:val="nil"/>
              <w:bottom w:val="single" w:sz="4" w:space="0" w:color="auto"/>
              <w:right w:val="single" w:sz="4" w:space="0" w:color="auto"/>
            </w:tcBorders>
            <w:shd w:val="clear" w:color="auto" w:fill="auto"/>
            <w:vAlign w:val="center"/>
            <w:hideMark/>
          </w:tcPr>
          <w:p w14:paraId="1BC63D29"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air cooled exchanger</w:t>
            </w:r>
          </w:p>
        </w:tc>
      </w:tr>
      <w:tr w:rsidR="007E2130" w:rsidRPr="00415046" w14:paraId="4277327B"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DF0FA4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Condenser 2</w:t>
            </w:r>
          </w:p>
        </w:tc>
        <w:tc>
          <w:tcPr>
            <w:tcW w:w="0" w:type="auto"/>
            <w:tcBorders>
              <w:top w:val="nil"/>
              <w:left w:val="nil"/>
              <w:bottom w:val="single" w:sz="4" w:space="0" w:color="auto"/>
              <w:right w:val="single" w:sz="4" w:space="0" w:color="auto"/>
            </w:tcBorders>
            <w:shd w:val="clear" w:color="auto" w:fill="auto"/>
            <w:noWrap/>
            <w:vAlign w:val="center"/>
            <w:hideMark/>
          </w:tcPr>
          <w:p w14:paraId="50BF1E2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Heat Exchange, kW</w:t>
            </w:r>
          </w:p>
        </w:tc>
        <w:tc>
          <w:tcPr>
            <w:tcW w:w="0" w:type="auto"/>
            <w:tcBorders>
              <w:top w:val="nil"/>
              <w:left w:val="nil"/>
              <w:bottom w:val="single" w:sz="4" w:space="0" w:color="auto"/>
              <w:right w:val="single" w:sz="4" w:space="0" w:color="auto"/>
            </w:tcBorders>
            <w:shd w:val="clear" w:color="auto" w:fill="auto"/>
            <w:noWrap/>
            <w:vAlign w:val="center"/>
            <w:hideMark/>
          </w:tcPr>
          <w:p w14:paraId="4EF3E72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0.39</w:t>
            </w:r>
          </w:p>
        </w:tc>
        <w:tc>
          <w:tcPr>
            <w:tcW w:w="0" w:type="auto"/>
            <w:tcBorders>
              <w:top w:val="nil"/>
              <w:left w:val="nil"/>
              <w:bottom w:val="single" w:sz="4" w:space="0" w:color="auto"/>
              <w:right w:val="single" w:sz="4" w:space="0" w:color="auto"/>
            </w:tcBorders>
            <w:shd w:val="clear" w:color="auto" w:fill="auto"/>
            <w:vAlign w:val="center"/>
            <w:hideMark/>
          </w:tcPr>
          <w:p w14:paraId="7DF8879B"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air cooled exchanger</w:t>
            </w:r>
          </w:p>
        </w:tc>
      </w:tr>
      <w:tr w:rsidR="007E2130" w:rsidRPr="00415046" w14:paraId="3007F86B" w14:textId="77777777" w:rsidTr="007E2130">
        <w:trPr>
          <w:trHeight w:val="34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1D8652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proofErr w:type="spellStart"/>
            <w:r w:rsidRPr="00415046">
              <w:rPr>
                <w:rFonts w:ascii="Times New Roman" w:eastAsia="Times New Roman" w:hAnsi="Times New Roman" w:cs="Times New Roman"/>
                <w:color w:val="000000"/>
                <w:lang w:val="en-US"/>
              </w:rPr>
              <w:t>Cryo</w:t>
            </w:r>
            <w:proofErr w:type="spellEnd"/>
            <w:r w:rsidRPr="00415046">
              <w:rPr>
                <w:rFonts w:ascii="Times New Roman" w:eastAsia="Times New Roman" w:hAnsi="Times New Roman" w:cs="Times New Roman"/>
                <w:color w:val="000000"/>
                <w:lang w:val="en-US"/>
              </w:rPr>
              <w:t xml:space="preserve"> 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 Drum</w:t>
            </w:r>
          </w:p>
        </w:tc>
        <w:tc>
          <w:tcPr>
            <w:tcW w:w="0" w:type="auto"/>
            <w:tcBorders>
              <w:top w:val="nil"/>
              <w:left w:val="nil"/>
              <w:bottom w:val="single" w:sz="4" w:space="0" w:color="auto"/>
              <w:right w:val="single" w:sz="4" w:space="0" w:color="auto"/>
            </w:tcBorders>
            <w:shd w:val="clear" w:color="auto" w:fill="auto"/>
            <w:noWrap/>
            <w:vAlign w:val="center"/>
            <w:hideMark/>
          </w:tcPr>
          <w:p w14:paraId="15AEA760"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6857C58B"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0A426421"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003BA37D"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D1DDB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LP TOL Flash Drum</w:t>
            </w:r>
          </w:p>
        </w:tc>
        <w:tc>
          <w:tcPr>
            <w:tcW w:w="0" w:type="auto"/>
            <w:tcBorders>
              <w:top w:val="nil"/>
              <w:left w:val="nil"/>
              <w:bottom w:val="single" w:sz="4" w:space="0" w:color="auto"/>
              <w:right w:val="single" w:sz="4" w:space="0" w:color="auto"/>
            </w:tcBorders>
            <w:shd w:val="clear" w:color="auto" w:fill="auto"/>
            <w:noWrap/>
            <w:vAlign w:val="center"/>
            <w:hideMark/>
          </w:tcPr>
          <w:p w14:paraId="5A337BD6"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0422B017"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41CA12AF"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53961D40"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FB92B5"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xml:space="preserve">MCH KO Drum </w:t>
            </w:r>
            <w:proofErr w:type="spellStart"/>
            <w:r w:rsidRPr="00415046">
              <w:rPr>
                <w:rFonts w:ascii="Times New Roman" w:eastAsia="Times New Roman" w:hAnsi="Times New Roman" w:cs="Times New Roman"/>
                <w:color w:val="000000"/>
                <w:lang w:val="en-US"/>
              </w:rPr>
              <w:t>UpSt</w:t>
            </w:r>
            <w:proofErr w:type="spellEnd"/>
            <w:r w:rsidRPr="00415046">
              <w:rPr>
                <w:rFonts w:ascii="Times New Roman" w:eastAsia="Times New Roman" w:hAnsi="Times New Roman" w:cs="Times New Roman"/>
                <w:color w:val="000000"/>
                <w:lang w:val="en-US"/>
              </w:rPr>
              <w:t xml:space="preserve"> of Comp</w:t>
            </w:r>
          </w:p>
        </w:tc>
        <w:tc>
          <w:tcPr>
            <w:tcW w:w="0" w:type="auto"/>
            <w:tcBorders>
              <w:top w:val="nil"/>
              <w:left w:val="nil"/>
              <w:bottom w:val="single" w:sz="4" w:space="0" w:color="auto"/>
              <w:right w:val="single" w:sz="4" w:space="0" w:color="auto"/>
            </w:tcBorders>
            <w:shd w:val="clear" w:color="auto" w:fill="auto"/>
            <w:noWrap/>
            <w:vAlign w:val="center"/>
            <w:hideMark/>
          </w:tcPr>
          <w:p w14:paraId="7037E83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Height (T-T) x Diameter</w:t>
            </w:r>
            <w:r w:rsidRPr="00415046">
              <w:rPr>
                <w:rFonts w:ascii="Times New Roman" w:eastAsia="Times New Roman" w:hAnsi="Times New Roman" w:cs="Times New Roman"/>
                <w:color w:val="000000"/>
                <w:vertAlign w:val="superscript"/>
                <w:lang w:val="en-US"/>
              </w:rPr>
              <w:t>1.5</w:t>
            </w:r>
          </w:p>
        </w:tc>
        <w:tc>
          <w:tcPr>
            <w:tcW w:w="0" w:type="auto"/>
            <w:tcBorders>
              <w:top w:val="nil"/>
              <w:left w:val="nil"/>
              <w:bottom w:val="single" w:sz="4" w:space="0" w:color="auto"/>
              <w:right w:val="single" w:sz="4" w:space="0" w:color="auto"/>
            </w:tcBorders>
            <w:shd w:val="clear" w:color="auto" w:fill="auto"/>
            <w:noWrap/>
            <w:vAlign w:val="center"/>
            <w:hideMark/>
          </w:tcPr>
          <w:p w14:paraId="2BD58D7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0.81</w:t>
            </w:r>
          </w:p>
        </w:tc>
        <w:tc>
          <w:tcPr>
            <w:tcW w:w="0" w:type="auto"/>
            <w:tcBorders>
              <w:top w:val="nil"/>
              <w:left w:val="nil"/>
              <w:bottom w:val="single" w:sz="4" w:space="0" w:color="auto"/>
              <w:right w:val="single" w:sz="4" w:space="0" w:color="auto"/>
            </w:tcBorders>
            <w:shd w:val="clear" w:color="auto" w:fill="auto"/>
            <w:vAlign w:val="center"/>
            <w:hideMark/>
          </w:tcPr>
          <w:p w14:paraId="3AA1285C"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CAPEX</w:t>
            </w:r>
            <w:r w:rsidRPr="00415046">
              <w:rPr>
                <w:rFonts w:ascii="Times New Roman" w:eastAsia="Times New Roman" w:hAnsi="Times New Roman" w:cs="Times New Roman"/>
                <w:color w:val="000000"/>
                <w:vertAlign w:val="superscript"/>
                <w:lang w:val="en-US"/>
              </w:rPr>
              <w:t>1</w:t>
            </w:r>
            <w:r w:rsidRPr="00415046">
              <w:rPr>
                <w:rFonts w:ascii="Times New Roman" w:eastAsia="Times New Roman" w:hAnsi="Times New Roman" w:cs="Times New Roman"/>
                <w:color w:val="000000"/>
                <w:lang w:val="en-US"/>
              </w:rPr>
              <w:t xml:space="preserve"> and exponent from Drum Sizing</w:t>
            </w:r>
          </w:p>
        </w:tc>
      </w:tr>
      <w:tr w:rsidR="007E2130" w:rsidRPr="00415046" w14:paraId="0EFE5688" w14:textId="77777777" w:rsidTr="007E2130">
        <w:trPr>
          <w:trHeight w:val="2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0ECF332"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Storage System</w:t>
            </w:r>
          </w:p>
        </w:tc>
        <w:tc>
          <w:tcPr>
            <w:tcW w:w="0" w:type="auto"/>
            <w:tcBorders>
              <w:top w:val="nil"/>
              <w:left w:val="nil"/>
              <w:bottom w:val="single" w:sz="4" w:space="0" w:color="auto"/>
              <w:right w:val="single" w:sz="4" w:space="0" w:color="auto"/>
            </w:tcBorders>
            <w:shd w:val="clear" w:color="auto" w:fill="auto"/>
            <w:noWrap/>
            <w:vAlign w:val="center"/>
            <w:hideMark/>
          </w:tcPr>
          <w:p w14:paraId="5D3AA1ED"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c>
          <w:tcPr>
            <w:tcW w:w="0" w:type="auto"/>
            <w:tcBorders>
              <w:top w:val="nil"/>
              <w:left w:val="nil"/>
              <w:bottom w:val="single" w:sz="4" w:space="0" w:color="auto"/>
              <w:right w:val="single" w:sz="4" w:space="0" w:color="auto"/>
            </w:tcBorders>
            <w:shd w:val="clear" w:color="auto" w:fill="auto"/>
            <w:noWrap/>
            <w:vAlign w:val="center"/>
            <w:hideMark/>
          </w:tcPr>
          <w:p w14:paraId="2D62D5F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c>
          <w:tcPr>
            <w:tcW w:w="0" w:type="auto"/>
            <w:tcBorders>
              <w:top w:val="nil"/>
              <w:left w:val="nil"/>
              <w:bottom w:val="single" w:sz="4" w:space="0" w:color="auto"/>
              <w:right w:val="single" w:sz="4" w:space="0" w:color="auto"/>
            </w:tcBorders>
            <w:shd w:val="clear" w:color="auto" w:fill="auto"/>
            <w:vAlign w:val="center"/>
            <w:hideMark/>
          </w:tcPr>
          <w:p w14:paraId="43B84365"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r>
      <w:tr w:rsidR="007E2130" w:rsidRPr="00415046" w14:paraId="22919E2C"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E4A54E8"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MCH Storage Tank</w:t>
            </w:r>
          </w:p>
        </w:tc>
        <w:tc>
          <w:tcPr>
            <w:tcW w:w="0" w:type="auto"/>
            <w:tcBorders>
              <w:top w:val="nil"/>
              <w:left w:val="nil"/>
              <w:bottom w:val="single" w:sz="4" w:space="0" w:color="auto"/>
              <w:right w:val="single" w:sz="4" w:space="0" w:color="auto"/>
            </w:tcBorders>
            <w:shd w:val="clear" w:color="auto" w:fill="auto"/>
            <w:noWrap/>
            <w:vAlign w:val="center"/>
            <w:hideMark/>
          </w:tcPr>
          <w:p w14:paraId="14A81649"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Tank Volume, m</w:t>
            </w:r>
            <w:r w:rsidRPr="00415046">
              <w:rPr>
                <w:rFonts w:ascii="Times New Roman" w:eastAsia="Times New Roman" w:hAnsi="Times New Roman" w:cs="Times New Roman"/>
                <w:color w:val="000000"/>
                <w:vertAlign w:val="superscript"/>
                <w:lang w:val="en-US"/>
              </w:rPr>
              <w:t>3</w:t>
            </w:r>
          </w:p>
        </w:tc>
        <w:tc>
          <w:tcPr>
            <w:tcW w:w="0" w:type="auto"/>
            <w:tcBorders>
              <w:top w:val="nil"/>
              <w:left w:val="nil"/>
              <w:bottom w:val="single" w:sz="4" w:space="0" w:color="auto"/>
              <w:right w:val="single" w:sz="4" w:space="0" w:color="auto"/>
            </w:tcBorders>
            <w:shd w:val="clear" w:color="auto" w:fill="auto"/>
            <w:noWrap/>
            <w:vAlign w:val="center"/>
            <w:hideMark/>
          </w:tcPr>
          <w:p w14:paraId="0F6BA55F"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0.63</w:t>
            </w:r>
          </w:p>
        </w:tc>
        <w:tc>
          <w:tcPr>
            <w:tcW w:w="0" w:type="auto"/>
            <w:tcBorders>
              <w:top w:val="nil"/>
              <w:left w:val="nil"/>
              <w:bottom w:val="single" w:sz="4" w:space="0" w:color="auto"/>
              <w:right w:val="single" w:sz="4" w:space="0" w:color="auto"/>
            </w:tcBorders>
            <w:shd w:val="clear" w:color="auto" w:fill="auto"/>
            <w:hideMark/>
          </w:tcPr>
          <w:p w14:paraId="2FB3DF7D"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r>
      <w:tr w:rsidR="007E2130" w:rsidRPr="00415046" w14:paraId="5D038DDD" w14:textId="77777777" w:rsidTr="007E2130">
        <w:trPr>
          <w:trHeight w:val="3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76DB6B4"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 Storage Tank</w:t>
            </w:r>
          </w:p>
        </w:tc>
        <w:tc>
          <w:tcPr>
            <w:tcW w:w="0" w:type="auto"/>
            <w:tcBorders>
              <w:top w:val="nil"/>
              <w:left w:val="nil"/>
              <w:bottom w:val="single" w:sz="4" w:space="0" w:color="auto"/>
              <w:right w:val="single" w:sz="4" w:space="0" w:color="auto"/>
            </w:tcBorders>
            <w:shd w:val="clear" w:color="auto" w:fill="auto"/>
            <w:noWrap/>
            <w:vAlign w:val="center"/>
            <w:hideMark/>
          </w:tcPr>
          <w:p w14:paraId="5707047C"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Tank Volume, m</w:t>
            </w:r>
            <w:r w:rsidRPr="00415046">
              <w:rPr>
                <w:rFonts w:ascii="Times New Roman" w:eastAsia="Times New Roman" w:hAnsi="Times New Roman" w:cs="Times New Roman"/>
                <w:color w:val="000000"/>
                <w:vertAlign w:val="superscript"/>
                <w:lang w:val="en-US"/>
              </w:rPr>
              <w:t>3</w:t>
            </w:r>
          </w:p>
        </w:tc>
        <w:tc>
          <w:tcPr>
            <w:tcW w:w="0" w:type="auto"/>
            <w:tcBorders>
              <w:top w:val="nil"/>
              <w:left w:val="nil"/>
              <w:bottom w:val="single" w:sz="4" w:space="0" w:color="auto"/>
              <w:right w:val="single" w:sz="4" w:space="0" w:color="auto"/>
            </w:tcBorders>
            <w:shd w:val="clear" w:color="auto" w:fill="auto"/>
            <w:noWrap/>
            <w:vAlign w:val="center"/>
            <w:hideMark/>
          </w:tcPr>
          <w:p w14:paraId="4343F4DE" w14:textId="77777777" w:rsidR="007E2130" w:rsidRPr="00415046" w:rsidRDefault="007E2130" w:rsidP="007E2130">
            <w:pPr>
              <w:spacing w:line="240" w:lineRule="auto"/>
              <w:jc w:val="center"/>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0.63</w:t>
            </w:r>
          </w:p>
        </w:tc>
        <w:tc>
          <w:tcPr>
            <w:tcW w:w="0" w:type="auto"/>
            <w:tcBorders>
              <w:top w:val="nil"/>
              <w:left w:val="nil"/>
              <w:bottom w:val="single" w:sz="4" w:space="0" w:color="auto"/>
              <w:right w:val="single" w:sz="4" w:space="0" w:color="auto"/>
            </w:tcBorders>
            <w:shd w:val="clear" w:color="auto" w:fill="auto"/>
            <w:hideMark/>
          </w:tcPr>
          <w:p w14:paraId="2115D11A" w14:textId="77777777" w:rsidR="007E2130" w:rsidRPr="00415046" w:rsidRDefault="007E2130"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w:t>
            </w:r>
          </w:p>
        </w:tc>
      </w:tr>
    </w:tbl>
    <w:p w14:paraId="50334043" w14:textId="77777777" w:rsidR="00E91287" w:rsidRPr="00415046" w:rsidRDefault="00E91287" w:rsidP="007E2130">
      <w:pPr>
        <w:spacing w:line="240" w:lineRule="auto"/>
        <w:rPr>
          <w:rFonts w:ascii="Times New Roman" w:hAnsi="Times New Roman" w:cs="Times New Roman"/>
          <w:b/>
        </w:rPr>
      </w:pPr>
    </w:p>
    <w:p w14:paraId="08BFC124" w14:textId="47118AD2" w:rsidR="009C0B2A" w:rsidRPr="00415046" w:rsidRDefault="00517E88" w:rsidP="00F653D9">
      <w:pPr>
        <w:pStyle w:val="Heading1"/>
        <w:rPr>
          <w:rFonts w:ascii="Times New Roman" w:hAnsi="Times New Roman" w:cs="Times New Roman"/>
          <w:b/>
          <w:color w:val="auto"/>
          <w:sz w:val="22"/>
          <w:szCs w:val="22"/>
        </w:rPr>
      </w:pPr>
      <w:bookmarkStart w:id="7" w:name="_Toc164699837"/>
      <w:r w:rsidRPr="00415046">
        <w:rPr>
          <w:rFonts w:ascii="Times New Roman" w:hAnsi="Times New Roman" w:cs="Times New Roman"/>
          <w:b/>
          <w:color w:val="auto"/>
          <w:sz w:val="22"/>
          <w:szCs w:val="22"/>
        </w:rPr>
        <w:t xml:space="preserve">Note 2: </w:t>
      </w:r>
      <w:r w:rsidR="009C0B2A" w:rsidRPr="00415046">
        <w:rPr>
          <w:rFonts w:ascii="Times New Roman" w:hAnsi="Times New Roman" w:cs="Times New Roman"/>
          <w:b/>
          <w:color w:val="auto"/>
          <w:sz w:val="22"/>
          <w:szCs w:val="22"/>
        </w:rPr>
        <w:t xml:space="preserve">Carbon </w:t>
      </w:r>
      <w:r w:rsidR="00C810D4" w:rsidRPr="00415046">
        <w:rPr>
          <w:rFonts w:ascii="Times New Roman" w:hAnsi="Times New Roman" w:cs="Times New Roman"/>
          <w:b/>
          <w:color w:val="auto"/>
          <w:sz w:val="22"/>
          <w:szCs w:val="22"/>
        </w:rPr>
        <w:t>i</w:t>
      </w:r>
      <w:r w:rsidR="009C0B2A" w:rsidRPr="00415046">
        <w:rPr>
          <w:rFonts w:ascii="Times New Roman" w:hAnsi="Times New Roman" w:cs="Times New Roman"/>
          <w:b/>
          <w:color w:val="auto"/>
          <w:sz w:val="22"/>
          <w:szCs w:val="22"/>
        </w:rPr>
        <w:t xml:space="preserve">ntensity </w:t>
      </w:r>
      <w:r w:rsidR="00C810D4" w:rsidRPr="00415046">
        <w:rPr>
          <w:rFonts w:ascii="Times New Roman" w:hAnsi="Times New Roman" w:cs="Times New Roman"/>
          <w:b/>
          <w:color w:val="auto"/>
          <w:sz w:val="22"/>
          <w:szCs w:val="22"/>
        </w:rPr>
        <w:t>of c</w:t>
      </w:r>
      <w:r w:rsidR="009C0B2A" w:rsidRPr="00415046">
        <w:rPr>
          <w:rFonts w:ascii="Times New Roman" w:hAnsi="Times New Roman" w:cs="Times New Roman"/>
          <w:b/>
          <w:color w:val="auto"/>
          <w:sz w:val="22"/>
          <w:szCs w:val="22"/>
        </w:rPr>
        <w:t>onsumables</w:t>
      </w:r>
      <w:r w:rsidR="00C810D4" w:rsidRPr="00415046">
        <w:rPr>
          <w:rFonts w:ascii="Times New Roman" w:hAnsi="Times New Roman" w:cs="Times New Roman"/>
          <w:b/>
          <w:color w:val="auto"/>
          <w:sz w:val="22"/>
          <w:szCs w:val="22"/>
        </w:rPr>
        <w:t xml:space="preserve"> and first fills.</w:t>
      </w:r>
      <w:bookmarkEnd w:id="7"/>
    </w:p>
    <w:p w14:paraId="3A99156B" w14:textId="6228092F" w:rsidR="00D74070" w:rsidRPr="00415046" w:rsidRDefault="009C0B2A" w:rsidP="007E2130">
      <w:pPr>
        <w:spacing w:line="240" w:lineRule="auto"/>
        <w:rPr>
          <w:rFonts w:ascii="Times New Roman" w:hAnsi="Times New Roman" w:cs="Times New Roman"/>
        </w:rPr>
      </w:pPr>
      <w:r w:rsidRPr="00415046">
        <w:rPr>
          <w:rFonts w:ascii="Times New Roman" w:hAnsi="Times New Roman" w:cs="Times New Roman"/>
        </w:rPr>
        <w:t xml:space="preserve">We </w:t>
      </w:r>
      <w:r w:rsidR="002E6CF4" w:rsidRPr="00415046">
        <w:rPr>
          <w:rFonts w:ascii="Times New Roman" w:hAnsi="Times New Roman" w:cs="Times New Roman"/>
        </w:rPr>
        <w:t>estimate</w:t>
      </w:r>
      <w:r w:rsidRPr="00415046">
        <w:rPr>
          <w:rFonts w:ascii="Times New Roman" w:hAnsi="Times New Roman" w:cs="Times New Roman"/>
        </w:rPr>
        <w:t xml:space="preserve"> direct and</w:t>
      </w:r>
      <w:r w:rsidR="002E6CF4" w:rsidRPr="00415046">
        <w:rPr>
          <w:rFonts w:ascii="Times New Roman" w:hAnsi="Times New Roman" w:cs="Times New Roman"/>
        </w:rPr>
        <w:t xml:space="preserve"> indirect</w:t>
      </w:r>
      <w:r w:rsidRPr="00415046">
        <w:rPr>
          <w:rFonts w:ascii="Times New Roman" w:hAnsi="Times New Roman" w:cs="Times New Roman"/>
        </w:rPr>
        <w:t xml:space="preserve"> life</w:t>
      </w:r>
      <w:r w:rsidR="002E6CF4" w:rsidRPr="00415046">
        <w:rPr>
          <w:rFonts w:ascii="Times New Roman" w:hAnsi="Times New Roman" w:cs="Times New Roman"/>
        </w:rPr>
        <w:t>-</w:t>
      </w:r>
      <w:r w:rsidRPr="00415046">
        <w:rPr>
          <w:rFonts w:ascii="Times New Roman" w:hAnsi="Times New Roman" w:cs="Times New Roman"/>
        </w:rPr>
        <w:t>cycle greenhouse gas emissions associated with material and energy flows</w:t>
      </w:r>
      <w:r w:rsidR="002E6CF4" w:rsidRPr="00415046">
        <w:rPr>
          <w:rFonts w:ascii="Times New Roman" w:hAnsi="Times New Roman" w:cs="Times New Roman"/>
        </w:rPr>
        <w:t xml:space="preserve"> of the TOL/MCH storage system using emission factors as described in Table S2</w:t>
      </w:r>
      <w:r w:rsidRPr="00415046">
        <w:rPr>
          <w:rFonts w:ascii="Times New Roman" w:hAnsi="Times New Roman" w:cs="Times New Roman"/>
        </w:rPr>
        <w:t xml:space="preserve">. </w:t>
      </w:r>
      <w:r w:rsidR="00AD2FD2" w:rsidRPr="00415046">
        <w:rPr>
          <w:rFonts w:ascii="Times New Roman" w:hAnsi="Times New Roman" w:cs="Times New Roman"/>
        </w:rPr>
        <w:t xml:space="preserve">Emission factors are derived from EcoInvent 3.10 in </w:t>
      </w:r>
      <w:proofErr w:type="spellStart"/>
      <w:r w:rsidR="00AD2FD2" w:rsidRPr="00415046">
        <w:rPr>
          <w:rFonts w:ascii="Times New Roman" w:hAnsi="Times New Roman" w:cs="Times New Roman"/>
        </w:rPr>
        <w:t>OpenLCA</w:t>
      </w:r>
      <w:proofErr w:type="spellEnd"/>
      <w:r w:rsidR="00AD2FD2" w:rsidRPr="00415046">
        <w:rPr>
          <w:rFonts w:ascii="Times New Roman" w:hAnsi="Times New Roman" w:cs="Times New Roman"/>
        </w:rPr>
        <w:t xml:space="preserve"> unless noted otherwise, and conversion of greenhouse gas emissions to climate change is conducted using </w:t>
      </w:r>
      <w:proofErr w:type="spellStart"/>
      <w:r w:rsidR="00AD2FD2" w:rsidRPr="00415046">
        <w:rPr>
          <w:rFonts w:ascii="Times New Roman" w:hAnsi="Times New Roman" w:cs="Times New Roman"/>
        </w:rPr>
        <w:t>ReCiPe</w:t>
      </w:r>
      <w:proofErr w:type="spellEnd"/>
      <w:r w:rsidR="00AD2FD2" w:rsidRPr="00415046">
        <w:rPr>
          <w:rFonts w:ascii="Times New Roman" w:hAnsi="Times New Roman" w:cs="Times New Roman"/>
        </w:rPr>
        <w:t xml:space="preserve"> 2016 Midpoint E characterization factors. </w:t>
      </w:r>
      <w:r w:rsidR="00445DF5" w:rsidRPr="00415046">
        <w:rPr>
          <w:rFonts w:ascii="Times New Roman" w:hAnsi="Times New Roman" w:cs="Times New Roman"/>
        </w:rPr>
        <w:t>We assume the storage system is not run on the renewable generation facility, and therefore assume</w:t>
      </w:r>
      <w:r w:rsidRPr="00415046">
        <w:rPr>
          <w:rFonts w:ascii="Times New Roman" w:hAnsi="Times New Roman" w:cs="Times New Roman"/>
        </w:rPr>
        <w:t xml:space="preserve"> ERCOT electricity grid. We assume nickel is produced from nickel sulfate</w:t>
      </w:r>
      <w:r w:rsidR="00975D7E" w:rsidRPr="00415046">
        <w:rPr>
          <w:rFonts w:ascii="Times New Roman" w:hAnsi="Times New Roman" w:cs="Times New Roman"/>
        </w:rPr>
        <w:t xml:space="preserve">. </w:t>
      </w:r>
      <w:r w:rsidR="00DE373D" w:rsidRPr="00415046">
        <w:rPr>
          <w:rFonts w:ascii="Times New Roman" w:hAnsi="Times New Roman" w:cs="Times New Roman"/>
        </w:rPr>
        <w:t>V</w:t>
      </w:r>
      <w:r w:rsidR="00975D7E" w:rsidRPr="00415046">
        <w:rPr>
          <w:rFonts w:ascii="Times New Roman" w:hAnsi="Times New Roman" w:cs="Times New Roman"/>
        </w:rPr>
        <w:t xml:space="preserve">alues </w:t>
      </w:r>
      <w:r w:rsidR="00DE373D" w:rsidRPr="00415046">
        <w:rPr>
          <w:rFonts w:ascii="Times New Roman" w:hAnsi="Times New Roman" w:cs="Times New Roman"/>
        </w:rPr>
        <w:t xml:space="preserve">for the carbon intensity of catalysts </w:t>
      </w:r>
      <w:r w:rsidR="00975D7E" w:rsidRPr="00415046">
        <w:rPr>
          <w:rFonts w:ascii="Times New Roman" w:hAnsi="Times New Roman" w:cs="Times New Roman"/>
        </w:rPr>
        <w:t>are uncertain and supply chain dependent.</w:t>
      </w:r>
      <w:r w:rsidR="00E44A8B" w:rsidRPr="00415046">
        <w:rPr>
          <w:rFonts w:ascii="Times New Roman" w:hAnsi="Times New Roman" w:cs="Times New Roman"/>
        </w:rPr>
        <w:t xml:space="preserve"> Wind-sourced H</w:t>
      </w:r>
      <w:r w:rsidR="00E44A8B" w:rsidRPr="00415046">
        <w:rPr>
          <w:rFonts w:ascii="Times New Roman" w:hAnsi="Times New Roman" w:cs="Times New Roman"/>
          <w:vertAlign w:val="subscript"/>
        </w:rPr>
        <w:t>2</w:t>
      </w:r>
      <w:r w:rsidR="00E44A8B" w:rsidRPr="00415046">
        <w:rPr>
          <w:rFonts w:ascii="Times New Roman" w:hAnsi="Times New Roman" w:cs="Times New Roman"/>
        </w:rPr>
        <w:t xml:space="preserve"> production is modeled assuming 0.66 kg-</w:t>
      </w:r>
      <w:r w:rsidR="00762977" w:rsidRPr="00415046">
        <w:rPr>
          <w:rFonts w:ascii="Times New Roman" w:hAnsi="Times New Roman" w:cs="Times New Roman"/>
        </w:rPr>
        <w:t>CO</w:t>
      </w:r>
      <w:r w:rsidR="00762977" w:rsidRPr="00415046">
        <w:rPr>
          <w:rFonts w:ascii="Times New Roman" w:hAnsi="Times New Roman" w:cs="Times New Roman"/>
          <w:vertAlign w:val="subscript"/>
        </w:rPr>
        <w:t>2</w:t>
      </w:r>
      <w:r w:rsidR="00762977" w:rsidRPr="00415046">
        <w:rPr>
          <w:rFonts w:ascii="Times New Roman" w:hAnsi="Times New Roman" w:cs="Times New Roman"/>
        </w:rPr>
        <w:t xml:space="preserve">e </w:t>
      </w:r>
      <w:r w:rsidR="00E44A8B" w:rsidRPr="00415046">
        <w:rPr>
          <w:rFonts w:ascii="Times New Roman" w:hAnsi="Times New Roman" w:cs="Times New Roman"/>
        </w:rPr>
        <w:t>/kg-H</w:t>
      </w:r>
      <w:r w:rsidR="00E44A8B" w:rsidRPr="00415046">
        <w:rPr>
          <w:rFonts w:ascii="Times New Roman" w:hAnsi="Times New Roman" w:cs="Times New Roman"/>
          <w:vertAlign w:val="subscript"/>
        </w:rPr>
        <w:t>2</w:t>
      </w:r>
      <w:r w:rsidR="00E44A8B" w:rsidRPr="00415046">
        <w:rPr>
          <w:rFonts w:ascii="Times New Roman" w:hAnsi="Times New Roman" w:cs="Times New Roman"/>
        </w:rPr>
        <w:t>-produced.</w:t>
      </w:r>
    </w:p>
    <w:p w14:paraId="34F532AE" w14:textId="77777777" w:rsidR="00B15FA5" w:rsidRPr="00415046" w:rsidRDefault="00B15FA5" w:rsidP="007E2130">
      <w:pPr>
        <w:spacing w:line="240" w:lineRule="auto"/>
        <w:rPr>
          <w:rFonts w:ascii="Times New Roman" w:hAnsi="Times New Roman" w:cs="Times New Roman"/>
        </w:rPr>
      </w:pPr>
    </w:p>
    <w:p w14:paraId="4B79C163" w14:textId="6CE9B325" w:rsidR="00883C61" w:rsidRPr="004D60D8" w:rsidRDefault="002E2232" w:rsidP="002E2232">
      <w:pPr>
        <w:pStyle w:val="Caption"/>
        <w:keepNext/>
        <w:rPr>
          <w:rFonts w:ascii="Times New Roman" w:hAnsi="Times New Roman" w:cs="Times New Roman"/>
          <w:color w:val="auto"/>
          <w:sz w:val="22"/>
        </w:rPr>
      </w:pPr>
      <w:bookmarkStart w:id="8" w:name="_Toc164699853"/>
      <w:r w:rsidRPr="004D60D8">
        <w:rPr>
          <w:rFonts w:ascii="Times New Roman" w:hAnsi="Times New Roman" w:cs="Times New Roman"/>
          <w:color w:val="auto"/>
          <w:sz w:val="22"/>
        </w:rPr>
        <w:t>Table S</w:t>
      </w:r>
      <w:r w:rsidRPr="004D60D8">
        <w:rPr>
          <w:rFonts w:ascii="Times New Roman" w:hAnsi="Times New Roman" w:cs="Times New Roman"/>
          <w:color w:val="auto"/>
          <w:sz w:val="22"/>
        </w:rPr>
        <w:fldChar w:fldCharType="begin"/>
      </w:r>
      <w:r w:rsidRPr="004D60D8">
        <w:rPr>
          <w:rFonts w:ascii="Times New Roman" w:hAnsi="Times New Roman" w:cs="Times New Roman"/>
          <w:color w:val="auto"/>
          <w:sz w:val="22"/>
        </w:rPr>
        <w:instrText xml:space="preserve"> SEQ Table \* ARABIC </w:instrText>
      </w:r>
      <w:r w:rsidRPr="004D60D8">
        <w:rPr>
          <w:rFonts w:ascii="Times New Roman" w:hAnsi="Times New Roman" w:cs="Times New Roman"/>
          <w:color w:val="auto"/>
          <w:sz w:val="22"/>
        </w:rPr>
        <w:fldChar w:fldCharType="separate"/>
      </w:r>
      <w:r w:rsidRPr="004D60D8">
        <w:rPr>
          <w:rFonts w:ascii="Times New Roman" w:hAnsi="Times New Roman" w:cs="Times New Roman"/>
          <w:noProof/>
          <w:color w:val="auto"/>
          <w:sz w:val="22"/>
        </w:rPr>
        <w:t>2</w:t>
      </w:r>
      <w:r w:rsidRPr="004D60D8">
        <w:rPr>
          <w:rFonts w:ascii="Times New Roman" w:hAnsi="Times New Roman" w:cs="Times New Roman"/>
          <w:color w:val="auto"/>
          <w:sz w:val="22"/>
        </w:rPr>
        <w:fldChar w:fldCharType="end"/>
      </w:r>
      <w:r w:rsidRPr="004D60D8">
        <w:rPr>
          <w:rFonts w:ascii="Times New Roman" w:hAnsi="Times New Roman" w:cs="Times New Roman"/>
          <w:color w:val="auto"/>
          <w:sz w:val="22"/>
        </w:rPr>
        <w:t xml:space="preserve"> | Life-cycle greenhouse gas emission factors (EF). NG: natural gas</w:t>
      </w:r>
      <w:bookmarkEnd w:id="8"/>
    </w:p>
    <w:tbl>
      <w:tblPr>
        <w:tblW w:w="9436" w:type="dxa"/>
        <w:tblLayout w:type="fixed"/>
        <w:tblLook w:val="04A0" w:firstRow="1" w:lastRow="0" w:firstColumn="1" w:lastColumn="0" w:noHBand="0" w:noVBand="1"/>
      </w:tblPr>
      <w:tblGrid>
        <w:gridCol w:w="1710"/>
        <w:gridCol w:w="990"/>
        <w:gridCol w:w="1602"/>
        <w:gridCol w:w="5134"/>
      </w:tblGrid>
      <w:tr w:rsidR="00D35496" w:rsidRPr="00415046" w14:paraId="2EA53138" w14:textId="77777777" w:rsidTr="007D4252">
        <w:trPr>
          <w:trHeight w:val="290"/>
        </w:trPr>
        <w:tc>
          <w:tcPr>
            <w:tcW w:w="1710" w:type="dxa"/>
            <w:tcBorders>
              <w:top w:val="nil"/>
              <w:left w:val="nil"/>
              <w:bottom w:val="nil"/>
              <w:right w:val="nil"/>
            </w:tcBorders>
            <w:shd w:val="clear" w:color="000000" w:fill="D9D9D9"/>
            <w:noWrap/>
            <w:vAlign w:val="bottom"/>
            <w:hideMark/>
          </w:tcPr>
          <w:p w14:paraId="0C044C43" w14:textId="79BBF20B" w:rsidR="00D35496" w:rsidRPr="00415046" w:rsidRDefault="007D4252"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Flow</w:t>
            </w:r>
          </w:p>
        </w:tc>
        <w:tc>
          <w:tcPr>
            <w:tcW w:w="990" w:type="dxa"/>
            <w:tcBorders>
              <w:top w:val="nil"/>
              <w:left w:val="nil"/>
              <w:bottom w:val="nil"/>
              <w:right w:val="nil"/>
            </w:tcBorders>
            <w:shd w:val="clear" w:color="000000" w:fill="D9D9D9"/>
            <w:noWrap/>
            <w:vAlign w:val="bottom"/>
            <w:hideMark/>
          </w:tcPr>
          <w:p w14:paraId="1BEE52A0" w14:textId="41DF0AF7" w:rsidR="00D35496" w:rsidRPr="00415046" w:rsidRDefault="007D4252"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EF</w:t>
            </w:r>
          </w:p>
        </w:tc>
        <w:tc>
          <w:tcPr>
            <w:tcW w:w="1602" w:type="dxa"/>
            <w:tcBorders>
              <w:top w:val="nil"/>
              <w:left w:val="nil"/>
              <w:bottom w:val="nil"/>
              <w:right w:val="nil"/>
            </w:tcBorders>
            <w:shd w:val="clear" w:color="000000" w:fill="D9D9D9"/>
            <w:noWrap/>
            <w:vAlign w:val="bottom"/>
            <w:hideMark/>
          </w:tcPr>
          <w:p w14:paraId="20E48504" w14:textId="77777777" w:rsidR="00D35496" w:rsidRPr="00415046" w:rsidRDefault="00D35496"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Unit</w:t>
            </w:r>
          </w:p>
        </w:tc>
        <w:tc>
          <w:tcPr>
            <w:tcW w:w="5134" w:type="dxa"/>
            <w:tcBorders>
              <w:top w:val="nil"/>
              <w:left w:val="nil"/>
              <w:bottom w:val="nil"/>
              <w:right w:val="nil"/>
            </w:tcBorders>
            <w:shd w:val="clear" w:color="000000" w:fill="D9D9D9"/>
            <w:noWrap/>
            <w:vAlign w:val="bottom"/>
            <w:hideMark/>
          </w:tcPr>
          <w:p w14:paraId="79CFA977" w14:textId="062F8859" w:rsidR="00D35496" w:rsidRPr="00415046" w:rsidRDefault="00436598" w:rsidP="007E2130">
            <w:pPr>
              <w:spacing w:line="240" w:lineRule="auto"/>
              <w:rPr>
                <w:rFonts w:ascii="Times New Roman" w:eastAsia="Times New Roman" w:hAnsi="Times New Roman" w:cs="Times New Roman"/>
                <w:b/>
                <w:bCs/>
                <w:color w:val="000000"/>
                <w:lang w:val="en-US"/>
              </w:rPr>
            </w:pPr>
            <w:r w:rsidRPr="00415046">
              <w:rPr>
                <w:rFonts w:ascii="Times New Roman" w:eastAsia="Times New Roman" w:hAnsi="Times New Roman" w:cs="Times New Roman"/>
                <w:b/>
                <w:bCs/>
                <w:color w:val="000000"/>
                <w:lang w:val="en-US"/>
              </w:rPr>
              <w:t>Comments</w:t>
            </w:r>
          </w:p>
        </w:tc>
      </w:tr>
      <w:tr w:rsidR="00D35496" w:rsidRPr="00415046" w14:paraId="008C6C47" w14:textId="77777777" w:rsidTr="007D4252">
        <w:trPr>
          <w:trHeight w:val="290"/>
        </w:trPr>
        <w:tc>
          <w:tcPr>
            <w:tcW w:w="1710" w:type="dxa"/>
            <w:tcBorders>
              <w:top w:val="nil"/>
              <w:left w:val="nil"/>
              <w:bottom w:val="nil"/>
              <w:right w:val="nil"/>
            </w:tcBorders>
            <w:shd w:val="clear" w:color="auto" w:fill="auto"/>
            <w:noWrap/>
            <w:vAlign w:val="bottom"/>
            <w:hideMark/>
          </w:tcPr>
          <w:p w14:paraId="125DF5E8" w14:textId="1A064C09" w:rsidR="00D35496" w:rsidRPr="00415046" w:rsidRDefault="007D4252"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TOL</w:t>
            </w:r>
          </w:p>
        </w:tc>
        <w:tc>
          <w:tcPr>
            <w:tcW w:w="990" w:type="dxa"/>
            <w:tcBorders>
              <w:top w:val="nil"/>
              <w:left w:val="nil"/>
              <w:bottom w:val="nil"/>
              <w:right w:val="nil"/>
            </w:tcBorders>
            <w:shd w:val="clear" w:color="auto" w:fill="auto"/>
            <w:noWrap/>
            <w:vAlign w:val="bottom"/>
            <w:hideMark/>
          </w:tcPr>
          <w:p w14:paraId="39AF807A"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1.8135</w:t>
            </w:r>
          </w:p>
        </w:tc>
        <w:tc>
          <w:tcPr>
            <w:tcW w:w="1602" w:type="dxa"/>
            <w:tcBorders>
              <w:top w:val="nil"/>
              <w:left w:val="nil"/>
              <w:bottom w:val="nil"/>
              <w:right w:val="nil"/>
            </w:tcBorders>
            <w:shd w:val="clear" w:color="auto" w:fill="auto"/>
            <w:noWrap/>
            <w:vAlign w:val="bottom"/>
            <w:hideMark/>
          </w:tcPr>
          <w:p w14:paraId="1CE08ED5"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kg-CO2e/kg</w:t>
            </w:r>
          </w:p>
        </w:tc>
        <w:tc>
          <w:tcPr>
            <w:tcW w:w="5134" w:type="dxa"/>
            <w:tcBorders>
              <w:top w:val="nil"/>
              <w:left w:val="nil"/>
              <w:bottom w:val="nil"/>
              <w:right w:val="nil"/>
            </w:tcBorders>
            <w:shd w:val="clear" w:color="auto" w:fill="auto"/>
            <w:noWrap/>
            <w:vAlign w:val="bottom"/>
            <w:hideMark/>
          </w:tcPr>
          <w:p w14:paraId="6DD431EE"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xml:space="preserve">EcoInvent: BTX production, from pyrolysis gas, average| toluene, liquid | Cutoff, S - </w:t>
            </w:r>
            <w:proofErr w:type="spellStart"/>
            <w:r w:rsidRPr="00415046">
              <w:rPr>
                <w:rFonts w:ascii="Times New Roman" w:eastAsia="Times New Roman" w:hAnsi="Times New Roman" w:cs="Times New Roman"/>
                <w:color w:val="000000"/>
                <w:lang w:val="en-US"/>
              </w:rPr>
              <w:t>RoW</w:t>
            </w:r>
            <w:proofErr w:type="spellEnd"/>
          </w:p>
        </w:tc>
      </w:tr>
      <w:tr w:rsidR="00D35496" w:rsidRPr="00415046" w14:paraId="2FF53132" w14:textId="77777777" w:rsidTr="007D4252">
        <w:trPr>
          <w:trHeight w:val="340"/>
        </w:trPr>
        <w:tc>
          <w:tcPr>
            <w:tcW w:w="1710" w:type="dxa"/>
            <w:tcBorders>
              <w:top w:val="nil"/>
              <w:left w:val="nil"/>
              <w:bottom w:val="nil"/>
              <w:right w:val="nil"/>
            </w:tcBorders>
            <w:shd w:val="clear" w:color="auto" w:fill="auto"/>
            <w:noWrap/>
            <w:vAlign w:val="bottom"/>
            <w:hideMark/>
          </w:tcPr>
          <w:p w14:paraId="26229A2A" w14:textId="5551BA3A" w:rsidR="00D35496" w:rsidRPr="00415046" w:rsidRDefault="007D4252"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NG</w:t>
            </w:r>
          </w:p>
        </w:tc>
        <w:tc>
          <w:tcPr>
            <w:tcW w:w="990" w:type="dxa"/>
            <w:tcBorders>
              <w:top w:val="nil"/>
              <w:left w:val="nil"/>
              <w:bottom w:val="nil"/>
              <w:right w:val="nil"/>
            </w:tcBorders>
            <w:shd w:val="clear" w:color="auto" w:fill="auto"/>
            <w:noWrap/>
            <w:vAlign w:val="bottom"/>
            <w:hideMark/>
          </w:tcPr>
          <w:p w14:paraId="188103D8"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16.5</w:t>
            </w:r>
          </w:p>
        </w:tc>
        <w:tc>
          <w:tcPr>
            <w:tcW w:w="1602" w:type="dxa"/>
            <w:tcBorders>
              <w:top w:val="nil"/>
              <w:left w:val="nil"/>
              <w:bottom w:val="nil"/>
              <w:right w:val="nil"/>
            </w:tcBorders>
            <w:shd w:val="clear" w:color="auto" w:fill="auto"/>
            <w:noWrap/>
            <w:vAlign w:val="bottom"/>
            <w:hideMark/>
          </w:tcPr>
          <w:p w14:paraId="287D387E"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 xml:space="preserve">e/MJ </w:t>
            </w:r>
          </w:p>
        </w:tc>
        <w:tc>
          <w:tcPr>
            <w:tcW w:w="5134" w:type="dxa"/>
            <w:tcBorders>
              <w:top w:val="nil"/>
              <w:left w:val="nil"/>
              <w:bottom w:val="nil"/>
              <w:right w:val="nil"/>
            </w:tcBorders>
            <w:shd w:val="clear" w:color="auto" w:fill="auto"/>
            <w:noWrap/>
            <w:vAlign w:val="bottom"/>
            <w:hideMark/>
          </w:tcPr>
          <w:p w14:paraId="66ED12C0" w14:textId="50D4AB86"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cradle to gate production emissions;</w:t>
            </w:r>
            <w:r w:rsidR="00A94CA7" w:rsidRPr="00415046">
              <w:rPr>
                <w:rFonts w:ascii="Times New Roman" w:eastAsia="Times New Roman" w:hAnsi="Times New Roman" w:cs="Times New Roman"/>
                <w:color w:val="000000"/>
                <w:lang w:val="en-US"/>
              </w:rPr>
              <w:fldChar w:fldCharType="begin" w:fldLock="1"/>
            </w:r>
            <w:r w:rsidR="00A11F5F" w:rsidRPr="00415046">
              <w:rPr>
                <w:rFonts w:ascii="Times New Roman" w:eastAsia="Times New Roman" w:hAnsi="Times New Roman" w:cs="Times New Roman"/>
                <w:color w:val="000000"/>
                <w:lang w:val="en-US"/>
              </w:rPr>
              <w:instrText>ADDIN CSL_CITATION {"citationItems":[{"id":"ITEM-1","itemData":{"author":[{"dropping-particle":"","family":"Skone","given":"Timothy J.","non-dropping-particle":"","parse-names":false,"suffix":""}],"container-title":"2015 EIA Energy Conference","id":"ITEM-1","issued":{"date-parts":[["2015"]]},"page":"19","publisher-place":"Washington, DC","title":"Life Cycle Greenhouse Gas Emissions: Natural Gas and Power Production","type":"paper-conference"},"uris":["http://www.mendeley.com/documents/?uuid=db6178e4-87e2-4314-8d87-5a5752c978db"]}],"mendeley":{"formattedCitation":"&lt;sup&gt;2&lt;/sup&gt;","plainTextFormattedCitation":"2","previouslyFormattedCitation":"&lt;sup&gt;2&lt;/sup&gt;"},"properties":{"noteIndex":0},"schema":"https://github.com/citation-style-language/schema/raw/master/csl-citation.json"}</w:instrText>
            </w:r>
            <w:r w:rsidR="00A94CA7" w:rsidRPr="00415046">
              <w:rPr>
                <w:rFonts w:ascii="Times New Roman" w:eastAsia="Times New Roman" w:hAnsi="Times New Roman" w:cs="Times New Roman"/>
                <w:color w:val="000000"/>
                <w:lang w:val="en-US"/>
              </w:rPr>
              <w:fldChar w:fldCharType="separate"/>
            </w:r>
            <w:r w:rsidR="00CF0BB2" w:rsidRPr="00415046">
              <w:rPr>
                <w:rFonts w:ascii="Times New Roman" w:eastAsia="Times New Roman" w:hAnsi="Times New Roman" w:cs="Times New Roman"/>
                <w:noProof/>
                <w:color w:val="000000"/>
                <w:vertAlign w:val="superscript"/>
                <w:lang w:val="en-US"/>
              </w:rPr>
              <w:t>2</w:t>
            </w:r>
            <w:r w:rsidR="00A94CA7" w:rsidRPr="00415046">
              <w:rPr>
                <w:rFonts w:ascii="Times New Roman" w:eastAsia="Times New Roman" w:hAnsi="Times New Roman" w:cs="Times New Roman"/>
                <w:color w:val="000000"/>
                <w:lang w:val="en-US"/>
              </w:rPr>
              <w:fldChar w:fldCharType="end"/>
            </w:r>
            <w:r w:rsidRPr="00415046">
              <w:rPr>
                <w:rFonts w:ascii="Times New Roman" w:eastAsia="Times New Roman" w:hAnsi="Times New Roman" w:cs="Times New Roman"/>
                <w:color w:val="000000"/>
                <w:lang w:val="en-US"/>
              </w:rPr>
              <w:t xml:space="preserve"> direct emissions from ASPENPlus</w:t>
            </w:r>
          </w:p>
        </w:tc>
      </w:tr>
      <w:tr w:rsidR="00D35496" w:rsidRPr="00415046" w14:paraId="0FA2B661" w14:textId="77777777" w:rsidTr="007D4252">
        <w:trPr>
          <w:trHeight w:val="340"/>
        </w:trPr>
        <w:tc>
          <w:tcPr>
            <w:tcW w:w="1710" w:type="dxa"/>
            <w:tcBorders>
              <w:top w:val="nil"/>
              <w:left w:val="nil"/>
              <w:bottom w:val="nil"/>
              <w:right w:val="nil"/>
            </w:tcBorders>
            <w:shd w:val="clear" w:color="auto" w:fill="auto"/>
            <w:noWrap/>
            <w:vAlign w:val="bottom"/>
            <w:hideMark/>
          </w:tcPr>
          <w:p w14:paraId="6C6D1A70"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Nickel</w:t>
            </w:r>
          </w:p>
        </w:tc>
        <w:tc>
          <w:tcPr>
            <w:tcW w:w="990" w:type="dxa"/>
            <w:tcBorders>
              <w:top w:val="nil"/>
              <w:left w:val="nil"/>
              <w:bottom w:val="nil"/>
              <w:right w:val="nil"/>
            </w:tcBorders>
            <w:shd w:val="clear" w:color="auto" w:fill="auto"/>
            <w:noWrap/>
            <w:vAlign w:val="bottom"/>
            <w:hideMark/>
          </w:tcPr>
          <w:p w14:paraId="309C1B45"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7.00518</w:t>
            </w:r>
          </w:p>
        </w:tc>
        <w:tc>
          <w:tcPr>
            <w:tcW w:w="1602" w:type="dxa"/>
            <w:tcBorders>
              <w:top w:val="nil"/>
              <w:left w:val="nil"/>
              <w:bottom w:val="nil"/>
              <w:right w:val="nil"/>
            </w:tcBorders>
            <w:shd w:val="clear" w:color="auto" w:fill="auto"/>
            <w:noWrap/>
            <w:vAlign w:val="bottom"/>
            <w:hideMark/>
          </w:tcPr>
          <w:p w14:paraId="6FCF0526"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e /kg</w:t>
            </w:r>
          </w:p>
        </w:tc>
        <w:tc>
          <w:tcPr>
            <w:tcW w:w="5134" w:type="dxa"/>
            <w:tcBorders>
              <w:top w:val="nil"/>
              <w:left w:val="nil"/>
              <w:bottom w:val="nil"/>
              <w:right w:val="nil"/>
            </w:tcBorders>
            <w:shd w:val="clear" w:color="auto" w:fill="auto"/>
            <w:noWrap/>
            <w:vAlign w:val="bottom"/>
            <w:hideMark/>
          </w:tcPr>
          <w:p w14:paraId="74056FE6"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EcoInvent: nickel sulfate production| nickel sulfate| cutoff, S -GLO</w:t>
            </w:r>
          </w:p>
        </w:tc>
      </w:tr>
      <w:tr w:rsidR="00D35496" w:rsidRPr="00415046" w14:paraId="6C5AB75A" w14:textId="77777777" w:rsidTr="007D4252">
        <w:trPr>
          <w:trHeight w:val="340"/>
        </w:trPr>
        <w:tc>
          <w:tcPr>
            <w:tcW w:w="1710" w:type="dxa"/>
            <w:tcBorders>
              <w:top w:val="nil"/>
              <w:left w:val="nil"/>
              <w:bottom w:val="nil"/>
              <w:right w:val="nil"/>
            </w:tcBorders>
            <w:shd w:val="clear" w:color="auto" w:fill="auto"/>
            <w:noWrap/>
            <w:vAlign w:val="bottom"/>
            <w:hideMark/>
          </w:tcPr>
          <w:p w14:paraId="703B6966"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Platinum</w:t>
            </w:r>
          </w:p>
        </w:tc>
        <w:tc>
          <w:tcPr>
            <w:tcW w:w="990" w:type="dxa"/>
            <w:tcBorders>
              <w:top w:val="nil"/>
              <w:left w:val="nil"/>
              <w:bottom w:val="nil"/>
              <w:right w:val="nil"/>
            </w:tcBorders>
            <w:shd w:val="clear" w:color="auto" w:fill="auto"/>
            <w:noWrap/>
            <w:vAlign w:val="bottom"/>
            <w:hideMark/>
          </w:tcPr>
          <w:p w14:paraId="324756CE"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66586.2</w:t>
            </w:r>
          </w:p>
        </w:tc>
        <w:tc>
          <w:tcPr>
            <w:tcW w:w="1602" w:type="dxa"/>
            <w:tcBorders>
              <w:top w:val="nil"/>
              <w:left w:val="nil"/>
              <w:bottom w:val="nil"/>
              <w:right w:val="nil"/>
            </w:tcBorders>
            <w:shd w:val="clear" w:color="auto" w:fill="auto"/>
            <w:noWrap/>
            <w:vAlign w:val="bottom"/>
            <w:hideMark/>
          </w:tcPr>
          <w:p w14:paraId="75D9F446"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e/kg</w:t>
            </w:r>
          </w:p>
        </w:tc>
        <w:tc>
          <w:tcPr>
            <w:tcW w:w="5134" w:type="dxa"/>
            <w:tcBorders>
              <w:top w:val="nil"/>
              <w:left w:val="nil"/>
              <w:bottom w:val="nil"/>
              <w:right w:val="nil"/>
            </w:tcBorders>
            <w:shd w:val="clear" w:color="auto" w:fill="auto"/>
            <w:noWrap/>
            <w:vAlign w:val="bottom"/>
            <w:hideMark/>
          </w:tcPr>
          <w:p w14:paraId="457D20A8"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EcoInvent: market for platinum| platinum| cutoff, S -GLO</w:t>
            </w:r>
          </w:p>
        </w:tc>
      </w:tr>
      <w:tr w:rsidR="00D35496" w:rsidRPr="00415046" w14:paraId="77299F09" w14:textId="77777777" w:rsidTr="007D4252">
        <w:trPr>
          <w:trHeight w:val="340"/>
        </w:trPr>
        <w:tc>
          <w:tcPr>
            <w:tcW w:w="1710" w:type="dxa"/>
            <w:tcBorders>
              <w:top w:val="nil"/>
              <w:left w:val="nil"/>
              <w:bottom w:val="nil"/>
              <w:right w:val="nil"/>
            </w:tcBorders>
            <w:shd w:val="clear" w:color="auto" w:fill="auto"/>
            <w:noWrap/>
            <w:vAlign w:val="bottom"/>
            <w:hideMark/>
          </w:tcPr>
          <w:p w14:paraId="6F38EE3B"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Wind hydrogen</w:t>
            </w:r>
          </w:p>
        </w:tc>
        <w:tc>
          <w:tcPr>
            <w:tcW w:w="990" w:type="dxa"/>
            <w:tcBorders>
              <w:top w:val="nil"/>
              <w:left w:val="nil"/>
              <w:bottom w:val="nil"/>
              <w:right w:val="nil"/>
            </w:tcBorders>
            <w:shd w:val="clear" w:color="auto" w:fill="auto"/>
            <w:noWrap/>
            <w:vAlign w:val="bottom"/>
            <w:hideMark/>
          </w:tcPr>
          <w:p w14:paraId="7618350E"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0.66</w:t>
            </w:r>
          </w:p>
        </w:tc>
        <w:tc>
          <w:tcPr>
            <w:tcW w:w="1602" w:type="dxa"/>
            <w:tcBorders>
              <w:top w:val="nil"/>
              <w:left w:val="nil"/>
              <w:bottom w:val="nil"/>
              <w:right w:val="nil"/>
            </w:tcBorders>
            <w:shd w:val="clear" w:color="auto" w:fill="auto"/>
            <w:noWrap/>
            <w:vAlign w:val="bottom"/>
            <w:hideMark/>
          </w:tcPr>
          <w:p w14:paraId="19B86262"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e /kg-H</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-produced</w:t>
            </w:r>
          </w:p>
        </w:tc>
        <w:tc>
          <w:tcPr>
            <w:tcW w:w="5134" w:type="dxa"/>
            <w:tcBorders>
              <w:top w:val="nil"/>
              <w:left w:val="nil"/>
              <w:bottom w:val="nil"/>
              <w:right w:val="nil"/>
            </w:tcBorders>
            <w:shd w:val="clear" w:color="auto" w:fill="auto"/>
            <w:noWrap/>
            <w:vAlign w:val="bottom"/>
            <w:hideMark/>
          </w:tcPr>
          <w:p w14:paraId="51A30CA9" w14:textId="7E642520"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 xml:space="preserve">assuming 60 kWh/kg </w:t>
            </w:r>
            <w:r w:rsidR="00220507" w:rsidRPr="00415046">
              <w:rPr>
                <w:rFonts w:ascii="Times New Roman" w:eastAsia="Times New Roman" w:hAnsi="Times New Roman" w:cs="Times New Roman"/>
                <w:color w:val="000000"/>
                <w:lang w:val="en-US"/>
              </w:rPr>
              <w:t>including</w:t>
            </w:r>
            <w:r w:rsidRPr="00415046">
              <w:rPr>
                <w:rFonts w:ascii="Times New Roman" w:eastAsia="Times New Roman" w:hAnsi="Times New Roman" w:cs="Times New Roman"/>
                <w:color w:val="000000"/>
                <w:lang w:val="en-US"/>
              </w:rPr>
              <w:t xml:space="preserve"> balance of plant for electrolytic production of hydrogen</w:t>
            </w:r>
          </w:p>
        </w:tc>
      </w:tr>
      <w:tr w:rsidR="00D35496" w:rsidRPr="00415046" w14:paraId="01EA6F88" w14:textId="77777777" w:rsidTr="007D4252">
        <w:trPr>
          <w:trHeight w:val="340"/>
        </w:trPr>
        <w:tc>
          <w:tcPr>
            <w:tcW w:w="1710" w:type="dxa"/>
            <w:tcBorders>
              <w:top w:val="nil"/>
              <w:left w:val="nil"/>
              <w:bottom w:val="nil"/>
              <w:right w:val="nil"/>
            </w:tcBorders>
            <w:shd w:val="clear" w:color="auto" w:fill="auto"/>
            <w:noWrap/>
            <w:vAlign w:val="bottom"/>
            <w:hideMark/>
          </w:tcPr>
          <w:p w14:paraId="12C70ED7"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Wind electricity</w:t>
            </w:r>
          </w:p>
        </w:tc>
        <w:tc>
          <w:tcPr>
            <w:tcW w:w="990" w:type="dxa"/>
            <w:tcBorders>
              <w:top w:val="nil"/>
              <w:left w:val="nil"/>
              <w:bottom w:val="nil"/>
              <w:right w:val="nil"/>
            </w:tcBorders>
            <w:shd w:val="clear" w:color="auto" w:fill="auto"/>
            <w:noWrap/>
            <w:vAlign w:val="bottom"/>
            <w:hideMark/>
          </w:tcPr>
          <w:p w14:paraId="7990F73D"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11</w:t>
            </w:r>
          </w:p>
        </w:tc>
        <w:tc>
          <w:tcPr>
            <w:tcW w:w="1602" w:type="dxa"/>
            <w:tcBorders>
              <w:top w:val="nil"/>
              <w:left w:val="nil"/>
              <w:bottom w:val="nil"/>
              <w:right w:val="nil"/>
            </w:tcBorders>
            <w:shd w:val="clear" w:color="auto" w:fill="auto"/>
            <w:noWrap/>
            <w:vAlign w:val="bottom"/>
            <w:hideMark/>
          </w:tcPr>
          <w:p w14:paraId="4969D4A6"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e/MWh</w:t>
            </w:r>
          </w:p>
        </w:tc>
        <w:tc>
          <w:tcPr>
            <w:tcW w:w="5134" w:type="dxa"/>
            <w:tcBorders>
              <w:top w:val="nil"/>
              <w:left w:val="nil"/>
              <w:bottom w:val="nil"/>
              <w:right w:val="nil"/>
            </w:tcBorders>
            <w:shd w:val="clear" w:color="auto" w:fill="auto"/>
            <w:noWrap/>
            <w:vAlign w:val="bottom"/>
            <w:hideMark/>
          </w:tcPr>
          <w:p w14:paraId="7C0FB6F2" w14:textId="1AAAE229"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NREL LCA Harmonization study</w:t>
            </w:r>
            <w:r w:rsidR="00103859" w:rsidRPr="00415046">
              <w:rPr>
                <w:rFonts w:ascii="Times New Roman" w:eastAsia="Times New Roman" w:hAnsi="Times New Roman" w:cs="Times New Roman"/>
                <w:color w:val="000000"/>
                <w:lang w:val="en-US"/>
              </w:rPr>
              <w:fldChar w:fldCharType="begin" w:fldLock="1"/>
            </w:r>
            <w:r w:rsidR="00A11F5F" w:rsidRPr="00415046">
              <w:rPr>
                <w:rFonts w:ascii="Times New Roman" w:eastAsia="Times New Roman" w:hAnsi="Times New Roman" w:cs="Times New Roman"/>
                <w:color w:val="000000"/>
                <w:lang w:val="en-US"/>
              </w:rPr>
              <w:instrText>ADDIN CSL_CITATION {"citationItems":[{"id":"ITEM-1","itemData":{"abstract":"As clean energy increasingly becomes part of the national dialogue, lenders, utilities, and lawmakers need the most comprehensive and accurate information on GHG emissions from various sources of energy to inform policy, planning, and investment decisions. The National Renewable Energy Laboratory (NREL) recently led the Life Cycle Assessment (LCA) Harmonization Project, a study that gives decision makers and investors more precise estimates of life cycle GHG emissions for renewable and conventional generation, clarifying inconsistent and conflicting estimates in the published literature, and reducing uncertainty.","author":[{"dropping-particle":"","family":"Nicholson","given":"Scott","non-dropping-particle":"","parse-names":false,"suffix":""},{"dropping-particle":"","family":"Heath","given":"Garvin","non-dropping-particle":"","parse-names":false,"suffix":""}],"container-title":"National Renewable Energy Laboratory","id":"ITEM-1","issued":{"date-parts":[["2021"]]},"page":"1-4","title":"Life Cycle Emissions Factors for Electricity Generation Technologies","type":"article-journal"},"uris":["http://www.mendeley.com/documents/?uuid=dc197633-72ff-4094-bdab-c7cb71fd952e"]}],"mendeley":{"formattedCitation":"&lt;sup&gt;3&lt;/sup&gt;","plainTextFormattedCitation":"3","previouslyFormattedCitation":"&lt;sup&gt;3&lt;/sup&gt;"},"properties":{"noteIndex":0},"schema":"https://github.com/citation-style-language/schema/raw/master/csl-citation.json"}</w:instrText>
            </w:r>
            <w:r w:rsidR="00103859" w:rsidRPr="00415046">
              <w:rPr>
                <w:rFonts w:ascii="Times New Roman" w:eastAsia="Times New Roman" w:hAnsi="Times New Roman" w:cs="Times New Roman"/>
                <w:color w:val="000000"/>
                <w:lang w:val="en-US"/>
              </w:rPr>
              <w:fldChar w:fldCharType="separate"/>
            </w:r>
            <w:r w:rsidR="00CF0BB2" w:rsidRPr="00415046">
              <w:rPr>
                <w:rFonts w:ascii="Times New Roman" w:eastAsia="Times New Roman" w:hAnsi="Times New Roman" w:cs="Times New Roman"/>
                <w:noProof/>
                <w:color w:val="000000"/>
                <w:vertAlign w:val="superscript"/>
                <w:lang w:val="en-US"/>
              </w:rPr>
              <w:t>3</w:t>
            </w:r>
            <w:r w:rsidR="00103859" w:rsidRPr="00415046">
              <w:rPr>
                <w:rFonts w:ascii="Times New Roman" w:eastAsia="Times New Roman" w:hAnsi="Times New Roman" w:cs="Times New Roman"/>
                <w:color w:val="000000"/>
                <w:lang w:val="en-US"/>
              </w:rPr>
              <w:fldChar w:fldCharType="end"/>
            </w:r>
          </w:p>
        </w:tc>
      </w:tr>
      <w:tr w:rsidR="00D35496" w:rsidRPr="00415046" w14:paraId="7CFE4646" w14:textId="77777777" w:rsidTr="007D4252">
        <w:trPr>
          <w:trHeight w:val="340"/>
        </w:trPr>
        <w:tc>
          <w:tcPr>
            <w:tcW w:w="1710" w:type="dxa"/>
            <w:tcBorders>
              <w:top w:val="nil"/>
              <w:left w:val="nil"/>
              <w:bottom w:val="nil"/>
              <w:right w:val="nil"/>
            </w:tcBorders>
            <w:shd w:val="clear" w:color="auto" w:fill="auto"/>
            <w:noWrap/>
            <w:vAlign w:val="bottom"/>
            <w:hideMark/>
          </w:tcPr>
          <w:p w14:paraId="19C57393"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ERCOT electricity</w:t>
            </w:r>
          </w:p>
        </w:tc>
        <w:tc>
          <w:tcPr>
            <w:tcW w:w="990" w:type="dxa"/>
            <w:tcBorders>
              <w:top w:val="nil"/>
              <w:left w:val="nil"/>
              <w:bottom w:val="nil"/>
              <w:right w:val="nil"/>
            </w:tcBorders>
            <w:shd w:val="clear" w:color="auto" w:fill="auto"/>
            <w:noWrap/>
            <w:vAlign w:val="bottom"/>
            <w:hideMark/>
          </w:tcPr>
          <w:p w14:paraId="46EF869A" w14:textId="77777777" w:rsidR="00D35496" w:rsidRPr="00415046" w:rsidRDefault="00D35496" w:rsidP="007E2130">
            <w:pPr>
              <w:spacing w:line="240" w:lineRule="auto"/>
              <w:jc w:val="right"/>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358.792</w:t>
            </w:r>
          </w:p>
        </w:tc>
        <w:tc>
          <w:tcPr>
            <w:tcW w:w="1602" w:type="dxa"/>
            <w:tcBorders>
              <w:top w:val="nil"/>
              <w:left w:val="nil"/>
              <w:bottom w:val="nil"/>
              <w:right w:val="nil"/>
            </w:tcBorders>
            <w:shd w:val="clear" w:color="auto" w:fill="auto"/>
            <w:noWrap/>
            <w:vAlign w:val="bottom"/>
            <w:hideMark/>
          </w:tcPr>
          <w:p w14:paraId="6E0B9543" w14:textId="77777777" w:rsidR="00D35496" w:rsidRPr="00415046" w:rsidRDefault="00D35496"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kg-CO</w:t>
            </w:r>
            <w:r w:rsidRPr="00415046">
              <w:rPr>
                <w:rFonts w:ascii="Times New Roman" w:eastAsia="Times New Roman" w:hAnsi="Times New Roman" w:cs="Times New Roman"/>
                <w:color w:val="000000"/>
                <w:vertAlign w:val="subscript"/>
                <w:lang w:val="en-US"/>
              </w:rPr>
              <w:t>2</w:t>
            </w:r>
            <w:r w:rsidRPr="00415046">
              <w:rPr>
                <w:rFonts w:ascii="Times New Roman" w:eastAsia="Times New Roman" w:hAnsi="Times New Roman" w:cs="Times New Roman"/>
                <w:color w:val="000000"/>
                <w:lang w:val="en-US"/>
              </w:rPr>
              <w:t>e/MWh</w:t>
            </w:r>
          </w:p>
        </w:tc>
        <w:tc>
          <w:tcPr>
            <w:tcW w:w="5134" w:type="dxa"/>
            <w:tcBorders>
              <w:top w:val="nil"/>
              <w:left w:val="nil"/>
              <w:bottom w:val="nil"/>
              <w:right w:val="nil"/>
            </w:tcBorders>
            <w:shd w:val="clear" w:color="auto" w:fill="auto"/>
            <w:noWrap/>
            <w:vAlign w:val="bottom"/>
            <w:hideMark/>
          </w:tcPr>
          <w:p w14:paraId="4D6A2AF1" w14:textId="4F5BF148" w:rsidR="00D35496" w:rsidRPr="00415046" w:rsidRDefault="00220507" w:rsidP="007E2130">
            <w:pPr>
              <w:spacing w:line="240" w:lineRule="auto"/>
              <w:rPr>
                <w:rFonts w:ascii="Times New Roman" w:eastAsia="Times New Roman" w:hAnsi="Times New Roman" w:cs="Times New Roman"/>
                <w:color w:val="000000"/>
                <w:lang w:val="en-US"/>
              </w:rPr>
            </w:pPr>
            <w:r w:rsidRPr="00415046">
              <w:rPr>
                <w:rFonts w:ascii="Times New Roman" w:eastAsia="Times New Roman" w:hAnsi="Times New Roman" w:cs="Times New Roman"/>
                <w:color w:val="000000"/>
                <w:lang w:val="en-US"/>
              </w:rPr>
              <w:t>Environmental</w:t>
            </w:r>
            <w:r w:rsidR="00D35496" w:rsidRPr="00415046">
              <w:rPr>
                <w:rFonts w:ascii="Times New Roman" w:eastAsia="Times New Roman" w:hAnsi="Times New Roman" w:cs="Times New Roman"/>
                <w:color w:val="000000"/>
                <w:lang w:val="en-US"/>
              </w:rPr>
              <w:t xml:space="preserve"> Protection Agency Clean Power Plant target for Texas ISO for the year 2030</w:t>
            </w:r>
            <w:r w:rsidR="00103859" w:rsidRPr="00415046">
              <w:rPr>
                <w:rFonts w:ascii="Times New Roman" w:eastAsia="Times New Roman" w:hAnsi="Times New Roman" w:cs="Times New Roman"/>
                <w:color w:val="000000"/>
                <w:lang w:val="en-US"/>
              </w:rPr>
              <w:fldChar w:fldCharType="begin" w:fldLock="1"/>
            </w:r>
            <w:r w:rsidR="00A11F5F" w:rsidRPr="00415046">
              <w:rPr>
                <w:rFonts w:ascii="Times New Roman" w:eastAsia="Times New Roman" w:hAnsi="Times New Roman" w:cs="Times New Roman"/>
                <w:color w:val="000000"/>
                <w:lang w:val="en-US"/>
              </w:rPr>
              <w:instrText>ADDIN CSL_CITATION {"citationItems":[{"id":"ITEM-1","itemData":{"author":[{"dropping-particle":"","family":"ERCOT","given":"","non-dropping-particle":"","parse-names":false,"suffix":""}],"id":"ITEM-1","issued":{"date-parts":[["2014"]]},"number-of-pages":"19","title":"ERCOT Analysis of the Impacts of the Clean Power Plan","type":"report"},"uris":["http://www.mendeley.com/documents/?uuid=5d4d56ec-206c-42f9-babd-31c7fd1eef0b"]}],"mendeley":{"formattedCitation":"&lt;sup&gt;4&lt;/sup&gt;","plainTextFormattedCitation":"4","previouslyFormattedCitation":"&lt;sup&gt;4&lt;/sup&gt;"},"properties":{"noteIndex":0},"schema":"https://github.com/citation-style-language/schema/raw/master/csl-citation.json"}</w:instrText>
            </w:r>
            <w:r w:rsidR="00103859" w:rsidRPr="00415046">
              <w:rPr>
                <w:rFonts w:ascii="Times New Roman" w:eastAsia="Times New Roman" w:hAnsi="Times New Roman" w:cs="Times New Roman"/>
                <w:color w:val="000000"/>
                <w:lang w:val="en-US"/>
              </w:rPr>
              <w:fldChar w:fldCharType="separate"/>
            </w:r>
            <w:r w:rsidR="00CF0BB2" w:rsidRPr="00415046">
              <w:rPr>
                <w:rFonts w:ascii="Times New Roman" w:eastAsia="Times New Roman" w:hAnsi="Times New Roman" w:cs="Times New Roman"/>
                <w:noProof/>
                <w:color w:val="000000"/>
                <w:vertAlign w:val="superscript"/>
                <w:lang w:val="en-US"/>
              </w:rPr>
              <w:t>4</w:t>
            </w:r>
            <w:r w:rsidR="00103859" w:rsidRPr="00415046">
              <w:rPr>
                <w:rFonts w:ascii="Times New Roman" w:eastAsia="Times New Roman" w:hAnsi="Times New Roman" w:cs="Times New Roman"/>
                <w:color w:val="000000"/>
                <w:lang w:val="en-US"/>
              </w:rPr>
              <w:fldChar w:fldCharType="end"/>
            </w:r>
          </w:p>
        </w:tc>
      </w:tr>
    </w:tbl>
    <w:p w14:paraId="751036DD" w14:textId="28474BE2" w:rsidR="004D26C6" w:rsidRPr="00415046" w:rsidRDefault="004D26C6" w:rsidP="007E2130">
      <w:pPr>
        <w:spacing w:line="240" w:lineRule="auto"/>
        <w:rPr>
          <w:rFonts w:ascii="Times New Roman" w:hAnsi="Times New Roman" w:cs="Times New Roman"/>
        </w:rPr>
      </w:pPr>
    </w:p>
    <w:p w14:paraId="2C512F79" w14:textId="1BD4A493" w:rsidR="00224A57" w:rsidRPr="00415046" w:rsidRDefault="00224A57" w:rsidP="001D065F">
      <w:pPr>
        <w:spacing w:after="160" w:line="240" w:lineRule="auto"/>
        <w:rPr>
          <w:rFonts w:ascii="Times New Roman" w:hAnsi="Times New Roman" w:cs="Times New Roman"/>
          <w:b/>
        </w:rPr>
        <w:sectPr w:rsidR="00224A57" w:rsidRPr="00415046">
          <w:footerReference w:type="default" r:id="rId7"/>
          <w:pgSz w:w="12240" w:h="15840"/>
          <w:pgMar w:top="1440" w:right="1440" w:bottom="1440" w:left="1440" w:header="720" w:footer="720" w:gutter="0"/>
          <w:cols w:space="720"/>
          <w:docGrid w:linePitch="360"/>
        </w:sectPr>
      </w:pPr>
    </w:p>
    <w:p w14:paraId="3B5EE55F" w14:textId="054F46A8" w:rsidR="001D065F" w:rsidRPr="00415046" w:rsidRDefault="004D60D8" w:rsidP="00F653D9">
      <w:pPr>
        <w:pStyle w:val="Heading1"/>
        <w:rPr>
          <w:rFonts w:ascii="Times New Roman" w:hAnsi="Times New Roman" w:cs="Times New Roman"/>
          <w:b/>
          <w:color w:val="auto"/>
          <w:sz w:val="22"/>
          <w:szCs w:val="22"/>
        </w:rPr>
      </w:pPr>
      <w:bookmarkStart w:id="9" w:name="_Toc164699838"/>
      <w:r>
        <w:rPr>
          <w:rFonts w:ascii="Times New Roman" w:hAnsi="Times New Roman" w:cs="Times New Roman"/>
          <w:b/>
          <w:color w:val="auto"/>
          <w:sz w:val="22"/>
          <w:szCs w:val="22"/>
        </w:rPr>
        <w:lastRenderedPageBreak/>
        <w:t>N</w:t>
      </w:r>
      <w:r w:rsidR="001D065F" w:rsidRPr="00415046">
        <w:rPr>
          <w:rFonts w:ascii="Times New Roman" w:hAnsi="Times New Roman" w:cs="Times New Roman"/>
          <w:b/>
          <w:color w:val="auto"/>
          <w:sz w:val="22"/>
          <w:szCs w:val="22"/>
        </w:rPr>
        <w:t xml:space="preserve">ote 3: </w:t>
      </w:r>
      <w:r w:rsidR="00C810D4" w:rsidRPr="00415046">
        <w:rPr>
          <w:rFonts w:ascii="Times New Roman" w:hAnsi="Times New Roman" w:cs="Times New Roman"/>
          <w:b/>
          <w:color w:val="auto"/>
          <w:sz w:val="22"/>
          <w:szCs w:val="22"/>
        </w:rPr>
        <w:t>Storage facility s</w:t>
      </w:r>
      <w:r w:rsidR="001D065F" w:rsidRPr="00415046">
        <w:rPr>
          <w:rFonts w:ascii="Times New Roman" w:hAnsi="Times New Roman" w:cs="Times New Roman"/>
          <w:b/>
          <w:color w:val="auto"/>
          <w:sz w:val="22"/>
          <w:szCs w:val="22"/>
        </w:rPr>
        <w:t xml:space="preserve">caling </w:t>
      </w:r>
      <w:r w:rsidR="00C810D4" w:rsidRPr="00415046">
        <w:rPr>
          <w:rFonts w:ascii="Times New Roman" w:hAnsi="Times New Roman" w:cs="Times New Roman"/>
          <w:b/>
          <w:color w:val="auto"/>
          <w:sz w:val="22"/>
          <w:szCs w:val="22"/>
        </w:rPr>
        <w:t>e</w:t>
      </w:r>
      <w:r w:rsidR="001D065F" w:rsidRPr="00415046">
        <w:rPr>
          <w:rFonts w:ascii="Times New Roman" w:hAnsi="Times New Roman" w:cs="Times New Roman"/>
          <w:b/>
          <w:color w:val="auto"/>
          <w:sz w:val="22"/>
          <w:szCs w:val="22"/>
        </w:rPr>
        <w:t>quation</w:t>
      </w:r>
      <w:r w:rsidR="00C810D4" w:rsidRPr="00415046">
        <w:rPr>
          <w:rFonts w:ascii="Times New Roman" w:hAnsi="Times New Roman" w:cs="Times New Roman"/>
          <w:b/>
          <w:color w:val="auto"/>
          <w:sz w:val="22"/>
          <w:szCs w:val="22"/>
        </w:rPr>
        <w:t>.</w:t>
      </w:r>
      <w:bookmarkEnd w:id="9"/>
    </w:p>
    <w:p w14:paraId="7E21B7E2" w14:textId="412C7F0C" w:rsidR="001D065F" w:rsidRPr="00415046" w:rsidRDefault="00CE044D" w:rsidP="007E2130">
      <w:pPr>
        <w:spacing w:line="240" w:lineRule="auto"/>
        <w:rPr>
          <w:rFonts w:ascii="Times New Roman" w:hAnsi="Times New Roman" w:cs="Times New Roman"/>
        </w:rPr>
      </w:pPr>
      <w:r w:rsidRPr="00415046">
        <w:rPr>
          <w:rFonts w:ascii="Times New Roman" w:hAnsi="Times New Roman" w:cs="Times New Roman"/>
        </w:rPr>
        <w:t>We present an alternative to the equipment level scaling approach presented in Note 1 whereby one equation can be used</w:t>
      </w:r>
      <w:r w:rsidR="008E7C41" w:rsidRPr="00415046">
        <w:rPr>
          <w:rFonts w:ascii="Times New Roman" w:hAnsi="Times New Roman" w:cs="Times New Roman"/>
        </w:rPr>
        <w:t xml:space="preserve"> to calculated the levelized cost of storage (LCOS)</w:t>
      </w:r>
      <w:r w:rsidRPr="00415046">
        <w:rPr>
          <w:rFonts w:ascii="Times New Roman" w:hAnsi="Times New Roman" w:cs="Times New Roman"/>
        </w:rPr>
        <w:t xml:space="preserve">. </w:t>
      </w:r>
      <w:r w:rsidR="008E7C41" w:rsidRPr="00415046">
        <w:rPr>
          <w:rFonts w:ascii="Times New Roman" w:hAnsi="Times New Roman" w:cs="Times New Roman"/>
        </w:rPr>
        <w:t>The user simply inputs values for hydrogenation capacity, dehydrogenation capacity, annual storage and maximum storage capacity as shown in Table S</w:t>
      </w:r>
      <w:r w:rsidR="002E2232">
        <w:rPr>
          <w:rFonts w:ascii="Times New Roman" w:hAnsi="Times New Roman" w:cs="Times New Roman"/>
        </w:rPr>
        <w:t>3</w:t>
      </w:r>
      <w:r w:rsidR="008E7C41" w:rsidRPr="00415046">
        <w:rPr>
          <w:rFonts w:ascii="Times New Roman" w:hAnsi="Times New Roman" w:cs="Times New Roman"/>
        </w:rPr>
        <w:t xml:space="preserve">. </w:t>
      </w:r>
      <w:r w:rsidRPr="00415046">
        <w:rPr>
          <w:rFonts w:ascii="Times New Roman" w:hAnsi="Times New Roman" w:cs="Times New Roman"/>
        </w:rPr>
        <w:t xml:space="preserve">Cost components are aggregated to overnight capital costs, fixed and variable operating costs. </w:t>
      </w:r>
    </w:p>
    <w:p w14:paraId="679B0094" w14:textId="77777777" w:rsidR="001D065F" w:rsidRPr="00415046" w:rsidRDefault="001D065F" w:rsidP="007E2130">
      <w:pPr>
        <w:spacing w:line="240" w:lineRule="auto"/>
        <w:rPr>
          <w:rFonts w:ascii="Times New Roman" w:hAnsi="Times New Roman" w:cs="Times New Roman"/>
          <w:b/>
        </w:rPr>
      </w:pPr>
    </w:p>
    <w:p w14:paraId="7374394B" w14:textId="2B3070A7" w:rsidR="00906061" w:rsidRPr="00CB2BA3" w:rsidRDefault="002E2232" w:rsidP="002E2232">
      <w:pPr>
        <w:pStyle w:val="Caption"/>
        <w:keepNext/>
        <w:rPr>
          <w:rFonts w:ascii="Times New Roman" w:hAnsi="Times New Roman" w:cs="Times New Roman"/>
          <w:color w:val="auto"/>
          <w:sz w:val="22"/>
        </w:rPr>
      </w:pPr>
      <w:bookmarkStart w:id="10" w:name="_Toc164699854"/>
      <w:r w:rsidRPr="00CB2BA3">
        <w:rPr>
          <w:rFonts w:ascii="Times New Roman" w:hAnsi="Times New Roman" w:cs="Times New Roman"/>
          <w:color w:val="auto"/>
          <w:sz w:val="22"/>
        </w:rPr>
        <w:t>Table S</w:t>
      </w:r>
      <w:r w:rsidRPr="00CB2BA3">
        <w:rPr>
          <w:rFonts w:ascii="Times New Roman" w:hAnsi="Times New Roman" w:cs="Times New Roman"/>
          <w:color w:val="auto"/>
          <w:sz w:val="22"/>
        </w:rPr>
        <w:fldChar w:fldCharType="begin"/>
      </w:r>
      <w:r w:rsidRPr="00CB2BA3">
        <w:rPr>
          <w:rFonts w:ascii="Times New Roman" w:hAnsi="Times New Roman" w:cs="Times New Roman"/>
          <w:color w:val="auto"/>
          <w:sz w:val="22"/>
        </w:rPr>
        <w:instrText xml:space="preserve"> SEQ Table \* ARABIC </w:instrText>
      </w:r>
      <w:r w:rsidRPr="00CB2BA3">
        <w:rPr>
          <w:rFonts w:ascii="Times New Roman" w:hAnsi="Times New Roman" w:cs="Times New Roman"/>
          <w:color w:val="auto"/>
          <w:sz w:val="22"/>
        </w:rPr>
        <w:fldChar w:fldCharType="separate"/>
      </w:r>
      <w:r w:rsidRPr="00CB2BA3">
        <w:rPr>
          <w:rFonts w:ascii="Times New Roman" w:hAnsi="Times New Roman" w:cs="Times New Roman"/>
          <w:noProof/>
          <w:color w:val="auto"/>
          <w:sz w:val="22"/>
        </w:rPr>
        <w:t>3</w:t>
      </w:r>
      <w:r w:rsidRPr="00CB2BA3">
        <w:rPr>
          <w:rFonts w:ascii="Times New Roman" w:hAnsi="Times New Roman" w:cs="Times New Roman"/>
          <w:color w:val="auto"/>
          <w:sz w:val="22"/>
        </w:rPr>
        <w:fldChar w:fldCharType="end"/>
      </w:r>
      <w:r w:rsidRPr="00CB2BA3">
        <w:rPr>
          <w:rFonts w:ascii="Times New Roman" w:hAnsi="Times New Roman" w:cs="Times New Roman"/>
          <w:color w:val="auto"/>
          <w:sz w:val="22"/>
        </w:rPr>
        <w:t xml:space="preserve"> | Cost breakdown of TOL/MCH storage system across four key design capacity parameters. Example user inputs are presented in the first four rows. The ranges are not intended to capture all combinations of equipment size and operation, nor to suggest there are locations with both capacities and storage sizes at the min. and max. range. T: metric tonne. TPD: tonnes per day.</w:t>
      </w:r>
      <w:bookmarkEnd w:id="10"/>
    </w:p>
    <w:tbl>
      <w:tblPr>
        <w:tblW w:w="0" w:type="auto"/>
        <w:tblLook w:val="04A0" w:firstRow="1" w:lastRow="0" w:firstColumn="1" w:lastColumn="0" w:noHBand="0" w:noVBand="1"/>
      </w:tblPr>
      <w:tblGrid>
        <w:gridCol w:w="2363"/>
        <w:gridCol w:w="916"/>
        <w:gridCol w:w="916"/>
        <w:gridCol w:w="916"/>
        <w:gridCol w:w="916"/>
        <w:gridCol w:w="916"/>
        <w:gridCol w:w="916"/>
        <w:gridCol w:w="916"/>
        <w:gridCol w:w="916"/>
        <w:gridCol w:w="916"/>
        <w:gridCol w:w="916"/>
        <w:gridCol w:w="916"/>
      </w:tblGrid>
      <w:tr w:rsidR="006E6FF6" w:rsidRPr="004D60D8" w14:paraId="1FE6B355" w14:textId="77777777" w:rsidTr="00CF0BB2">
        <w:trPr>
          <w:trHeight w:val="290"/>
        </w:trPr>
        <w:tc>
          <w:tcPr>
            <w:tcW w:w="0" w:type="auto"/>
            <w:tcBorders>
              <w:top w:val="single" w:sz="8" w:space="0" w:color="auto"/>
              <w:left w:val="nil"/>
              <w:bottom w:val="nil"/>
              <w:right w:val="nil"/>
            </w:tcBorders>
            <w:shd w:val="clear" w:color="auto" w:fill="auto"/>
            <w:noWrap/>
            <w:vAlign w:val="center"/>
            <w:hideMark/>
          </w:tcPr>
          <w:p w14:paraId="03594A75" w14:textId="77777777"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Hydrogenation Capacity (TPD)</w:t>
            </w:r>
          </w:p>
        </w:tc>
        <w:tc>
          <w:tcPr>
            <w:tcW w:w="0" w:type="auto"/>
            <w:tcBorders>
              <w:top w:val="single" w:sz="8" w:space="0" w:color="auto"/>
              <w:left w:val="nil"/>
              <w:bottom w:val="nil"/>
              <w:right w:val="nil"/>
            </w:tcBorders>
            <w:shd w:val="clear" w:color="auto" w:fill="auto"/>
            <w:noWrap/>
            <w:vAlign w:val="center"/>
            <w:hideMark/>
          </w:tcPr>
          <w:p w14:paraId="138A099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80</w:t>
            </w:r>
          </w:p>
        </w:tc>
        <w:tc>
          <w:tcPr>
            <w:tcW w:w="0" w:type="auto"/>
            <w:tcBorders>
              <w:top w:val="single" w:sz="8" w:space="0" w:color="auto"/>
              <w:left w:val="nil"/>
              <w:bottom w:val="nil"/>
              <w:right w:val="nil"/>
            </w:tcBorders>
            <w:shd w:val="clear" w:color="auto" w:fill="auto"/>
            <w:noWrap/>
            <w:vAlign w:val="center"/>
            <w:hideMark/>
          </w:tcPr>
          <w:p w14:paraId="319F1B0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112</w:t>
            </w:r>
          </w:p>
        </w:tc>
        <w:tc>
          <w:tcPr>
            <w:tcW w:w="0" w:type="auto"/>
            <w:tcBorders>
              <w:top w:val="single" w:sz="8" w:space="0" w:color="auto"/>
              <w:left w:val="nil"/>
              <w:bottom w:val="nil"/>
              <w:right w:val="nil"/>
            </w:tcBorders>
            <w:shd w:val="clear" w:color="auto" w:fill="auto"/>
            <w:noWrap/>
            <w:vAlign w:val="center"/>
            <w:hideMark/>
          </w:tcPr>
          <w:p w14:paraId="3FDCE3B0"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144</w:t>
            </w:r>
          </w:p>
        </w:tc>
        <w:tc>
          <w:tcPr>
            <w:tcW w:w="0" w:type="auto"/>
            <w:tcBorders>
              <w:top w:val="single" w:sz="8" w:space="0" w:color="auto"/>
              <w:left w:val="nil"/>
              <w:bottom w:val="nil"/>
              <w:right w:val="nil"/>
            </w:tcBorders>
            <w:shd w:val="clear" w:color="auto" w:fill="auto"/>
            <w:noWrap/>
            <w:vAlign w:val="center"/>
            <w:hideMark/>
          </w:tcPr>
          <w:p w14:paraId="1817B25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176</w:t>
            </w:r>
          </w:p>
        </w:tc>
        <w:tc>
          <w:tcPr>
            <w:tcW w:w="0" w:type="auto"/>
            <w:tcBorders>
              <w:top w:val="single" w:sz="8" w:space="0" w:color="auto"/>
              <w:left w:val="nil"/>
              <w:bottom w:val="nil"/>
              <w:right w:val="nil"/>
            </w:tcBorders>
            <w:shd w:val="clear" w:color="auto" w:fill="auto"/>
            <w:noWrap/>
            <w:vAlign w:val="center"/>
            <w:hideMark/>
          </w:tcPr>
          <w:p w14:paraId="6021F13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208</w:t>
            </w:r>
          </w:p>
        </w:tc>
        <w:tc>
          <w:tcPr>
            <w:tcW w:w="0" w:type="auto"/>
            <w:tcBorders>
              <w:top w:val="single" w:sz="8" w:space="0" w:color="auto"/>
              <w:left w:val="nil"/>
              <w:bottom w:val="nil"/>
              <w:right w:val="nil"/>
            </w:tcBorders>
            <w:shd w:val="clear" w:color="auto" w:fill="auto"/>
            <w:noWrap/>
            <w:vAlign w:val="center"/>
            <w:hideMark/>
          </w:tcPr>
          <w:p w14:paraId="1130F3D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240</w:t>
            </w:r>
          </w:p>
        </w:tc>
        <w:tc>
          <w:tcPr>
            <w:tcW w:w="0" w:type="auto"/>
            <w:tcBorders>
              <w:top w:val="single" w:sz="8" w:space="0" w:color="auto"/>
              <w:left w:val="nil"/>
              <w:bottom w:val="nil"/>
              <w:right w:val="nil"/>
            </w:tcBorders>
            <w:shd w:val="clear" w:color="auto" w:fill="auto"/>
            <w:noWrap/>
            <w:vAlign w:val="center"/>
            <w:hideMark/>
          </w:tcPr>
          <w:p w14:paraId="1E06BBB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272</w:t>
            </w:r>
          </w:p>
        </w:tc>
        <w:tc>
          <w:tcPr>
            <w:tcW w:w="0" w:type="auto"/>
            <w:tcBorders>
              <w:top w:val="single" w:sz="8" w:space="0" w:color="auto"/>
              <w:left w:val="nil"/>
              <w:bottom w:val="nil"/>
              <w:right w:val="nil"/>
            </w:tcBorders>
            <w:shd w:val="clear" w:color="auto" w:fill="auto"/>
            <w:noWrap/>
            <w:vAlign w:val="center"/>
            <w:hideMark/>
          </w:tcPr>
          <w:p w14:paraId="035D5CE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304</w:t>
            </w:r>
          </w:p>
        </w:tc>
        <w:tc>
          <w:tcPr>
            <w:tcW w:w="0" w:type="auto"/>
            <w:tcBorders>
              <w:top w:val="single" w:sz="8" w:space="0" w:color="auto"/>
              <w:left w:val="nil"/>
              <w:bottom w:val="nil"/>
              <w:right w:val="nil"/>
            </w:tcBorders>
            <w:shd w:val="clear" w:color="auto" w:fill="auto"/>
            <w:noWrap/>
            <w:vAlign w:val="center"/>
            <w:hideMark/>
          </w:tcPr>
          <w:p w14:paraId="2FC23E4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336</w:t>
            </w:r>
          </w:p>
        </w:tc>
        <w:tc>
          <w:tcPr>
            <w:tcW w:w="0" w:type="auto"/>
            <w:tcBorders>
              <w:top w:val="single" w:sz="8" w:space="0" w:color="auto"/>
              <w:left w:val="nil"/>
              <w:bottom w:val="nil"/>
              <w:right w:val="nil"/>
            </w:tcBorders>
            <w:shd w:val="clear" w:color="auto" w:fill="auto"/>
            <w:noWrap/>
            <w:vAlign w:val="center"/>
            <w:hideMark/>
          </w:tcPr>
          <w:p w14:paraId="49DBBEEC"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368</w:t>
            </w:r>
          </w:p>
        </w:tc>
        <w:tc>
          <w:tcPr>
            <w:tcW w:w="0" w:type="auto"/>
            <w:tcBorders>
              <w:top w:val="single" w:sz="8" w:space="0" w:color="auto"/>
              <w:left w:val="nil"/>
              <w:bottom w:val="nil"/>
              <w:right w:val="nil"/>
            </w:tcBorders>
            <w:shd w:val="clear" w:color="auto" w:fill="auto"/>
            <w:noWrap/>
            <w:vAlign w:val="center"/>
            <w:hideMark/>
          </w:tcPr>
          <w:p w14:paraId="0E38461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400</w:t>
            </w:r>
          </w:p>
        </w:tc>
      </w:tr>
      <w:tr w:rsidR="006E6FF6" w:rsidRPr="004D60D8" w14:paraId="11E58DFB" w14:textId="77777777" w:rsidTr="00CF0BB2">
        <w:trPr>
          <w:trHeight w:val="290"/>
        </w:trPr>
        <w:tc>
          <w:tcPr>
            <w:tcW w:w="0" w:type="auto"/>
            <w:tcBorders>
              <w:top w:val="nil"/>
              <w:left w:val="nil"/>
              <w:bottom w:val="nil"/>
              <w:right w:val="nil"/>
            </w:tcBorders>
            <w:shd w:val="clear" w:color="auto" w:fill="auto"/>
            <w:noWrap/>
            <w:vAlign w:val="center"/>
            <w:hideMark/>
          </w:tcPr>
          <w:p w14:paraId="707A93D3" w14:textId="77777777"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Dehydrogenation Capacity (TPD)</w:t>
            </w:r>
          </w:p>
        </w:tc>
        <w:tc>
          <w:tcPr>
            <w:tcW w:w="0" w:type="auto"/>
            <w:tcBorders>
              <w:top w:val="nil"/>
              <w:left w:val="nil"/>
              <w:bottom w:val="nil"/>
              <w:right w:val="nil"/>
            </w:tcBorders>
            <w:shd w:val="clear" w:color="auto" w:fill="auto"/>
            <w:noWrap/>
            <w:vAlign w:val="center"/>
            <w:hideMark/>
          </w:tcPr>
          <w:p w14:paraId="2985FE9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80</w:t>
            </w:r>
          </w:p>
        </w:tc>
        <w:tc>
          <w:tcPr>
            <w:tcW w:w="0" w:type="auto"/>
            <w:tcBorders>
              <w:top w:val="nil"/>
              <w:left w:val="nil"/>
              <w:bottom w:val="nil"/>
              <w:right w:val="nil"/>
            </w:tcBorders>
            <w:shd w:val="clear" w:color="auto" w:fill="auto"/>
            <w:noWrap/>
            <w:vAlign w:val="center"/>
            <w:hideMark/>
          </w:tcPr>
          <w:p w14:paraId="1484A0E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112</w:t>
            </w:r>
          </w:p>
        </w:tc>
        <w:tc>
          <w:tcPr>
            <w:tcW w:w="0" w:type="auto"/>
            <w:tcBorders>
              <w:top w:val="nil"/>
              <w:left w:val="nil"/>
              <w:bottom w:val="nil"/>
              <w:right w:val="nil"/>
            </w:tcBorders>
            <w:shd w:val="clear" w:color="auto" w:fill="auto"/>
            <w:noWrap/>
            <w:vAlign w:val="center"/>
            <w:hideMark/>
          </w:tcPr>
          <w:p w14:paraId="3F1E752C"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144</w:t>
            </w:r>
          </w:p>
        </w:tc>
        <w:tc>
          <w:tcPr>
            <w:tcW w:w="0" w:type="auto"/>
            <w:tcBorders>
              <w:top w:val="nil"/>
              <w:left w:val="nil"/>
              <w:bottom w:val="nil"/>
              <w:right w:val="nil"/>
            </w:tcBorders>
            <w:shd w:val="clear" w:color="auto" w:fill="auto"/>
            <w:noWrap/>
            <w:vAlign w:val="center"/>
            <w:hideMark/>
          </w:tcPr>
          <w:p w14:paraId="0E81E0F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176</w:t>
            </w:r>
          </w:p>
        </w:tc>
        <w:tc>
          <w:tcPr>
            <w:tcW w:w="0" w:type="auto"/>
            <w:tcBorders>
              <w:top w:val="nil"/>
              <w:left w:val="nil"/>
              <w:bottom w:val="nil"/>
              <w:right w:val="nil"/>
            </w:tcBorders>
            <w:shd w:val="clear" w:color="auto" w:fill="auto"/>
            <w:noWrap/>
            <w:vAlign w:val="center"/>
            <w:hideMark/>
          </w:tcPr>
          <w:p w14:paraId="27A1391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208</w:t>
            </w:r>
          </w:p>
        </w:tc>
        <w:tc>
          <w:tcPr>
            <w:tcW w:w="0" w:type="auto"/>
            <w:tcBorders>
              <w:top w:val="nil"/>
              <w:left w:val="nil"/>
              <w:bottom w:val="nil"/>
              <w:right w:val="nil"/>
            </w:tcBorders>
            <w:shd w:val="clear" w:color="auto" w:fill="auto"/>
            <w:noWrap/>
            <w:vAlign w:val="center"/>
            <w:hideMark/>
          </w:tcPr>
          <w:p w14:paraId="6F188990"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240</w:t>
            </w:r>
          </w:p>
        </w:tc>
        <w:tc>
          <w:tcPr>
            <w:tcW w:w="0" w:type="auto"/>
            <w:tcBorders>
              <w:top w:val="nil"/>
              <w:left w:val="nil"/>
              <w:bottom w:val="nil"/>
              <w:right w:val="nil"/>
            </w:tcBorders>
            <w:shd w:val="clear" w:color="auto" w:fill="auto"/>
            <w:noWrap/>
            <w:vAlign w:val="center"/>
            <w:hideMark/>
          </w:tcPr>
          <w:p w14:paraId="1B62417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272</w:t>
            </w:r>
          </w:p>
        </w:tc>
        <w:tc>
          <w:tcPr>
            <w:tcW w:w="0" w:type="auto"/>
            <w:tcBorders>
              <w:top w:val="nil"/>
              <w:left w:val="nil"/>
              <w:bottom w:val="nil"/>
              <w:right w:val="nil"/>
            </w:tcBorders>
            <w:shd w:val="clear" w:color="auto" w:fill="auto"/>
            <w:noWrap/>
            <w:vAlign w:val="center"/>
            <w:hideMark/>
          </w:tcPr>
          <w:p w14:paraId="2376384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304</w:t>
            </w:r>
          </w:p>
        </w:tc>
        <w:tc>
          <w:tcPr>
            <w:tcW w:w="0" w:type="auto"/>
            <w:tcBorders>
              <w:top w:val="nil"/>
              <w:left w:val="nil"/>
              <w:bottom w:val="nil"/>
              <w:right w:val="nil"/>
            </w:tcBorders>
            <w:shd w:val="clear" w:color="auto" w:fill="auto"/>
            <w:noWrap/>
            <w:vAlign w:val="center"/>
            <w:hideMark/>
          </w:tcPr>
          <w:p w14:paraId="095A425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336</w:t>
            </w:r>
          </w:p>
        </w:tc>
        <w:tc>
          <w:tcPr>
            <w:tcW w:w="0" w:type="auto"/>
            <w:tcBorders>
              <w:top w:val="nil"/>
              <w:left w:val="nil"/>
              <w:bottom w:val="nil"/>
              <w:right w:val="nil"/>
            </w:tcBorders>
            <w:shd w:val="clear" w:color="auto" w:fill="auto"/>
            <w:noWrap/>
            <w:vAlign w:val="center"/>
            <w:hideMark/>
          </w:tcPr>
          <w:p w14:paraId="66B05DD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368</w:t>
            </w:r>
          </w:p>
        </w:tc>
        <w:tc>
          <w:tcPr>
            <w:tcW w:w="0" w:type="auto"/>
            <w:tcBorders>
              <w:top w:val="nil"/>
              <w:left w:val="nil"/>
              <w:bottom w:val="nil"/>
              <w:right w:val="nil"/>
            </w:tcBorders>
            <w:shd w:val="clear" w:color="auto" w:fill="auto"/>
            <w:noWrap/>
            <w:vAlign w:val="center"/>
            <w:hideMark/>
          </w:tcPr>
          <w:p w14:paraId="170E126D"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400</w:t>
            </w:r>
          </w:p>
        </w:tc>
      </w:tr>
      <w:tr w:rsidR="006E6FF6" w:rsidRPr="004D60D8" w14:paraId="36E89995" w14:textId="77777777" w:rsidTr="00CF0BB2">
        <w:trPr>
          <w:trHeight w:val="290"/>
        </w:trPr>
        <w:tc>
          <w:tcPr>
            <w:tcW w:w="0" w:type="auto"/>
            <w:tcBorders>
              <w:top w:val="nil"/>
              <w:left w:val="nil"/>
              <w:bottom w:val="nil"/>
              <w:right w:val="nil"/>
            </w:tcBorders>
            <w:shd w:val="clear" w:color="auto" w:fill="auto"/>
            <w:noWrap/>
            <w:vAlign w:val="center"/>
            <w:hideMark/>
          </w:tcPr>
          <w:p w14:paraId="2E849A5F" w14:textId="77777777"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Annual Storage (T)</w:t>
            </w:r>
          </w:p>
        </w:tc>
        <w:tc>
          <w:tcPr>
            <w:tcW w:w="0" w:type="auto"/>
            <w:tcBorders>
              <w:top w:val="nil"/>
              <w:left w:val="nil"/>
              <w:bottom w:val="nil"/>
              <w:right w:val="nil"/>
            </w:tcBorders>
            <w:shd w:val="clear" w:color="auto" w:fill="auto"/>
            <w:noWrap/>
            <w:vAlign w:val="center"/>
            <w:hideMark/>
          </w:tcPr>
          <w:p w14:paraId="3022ED3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15,000</w:t>
            </w:r>
          </w:p>
        </w:tc>
        <w:tc>
          <w:tcPr>
            <w:tcW w:w="0" w:type="auto"/>
            <w:tcBorders>
              <w:top w:val="nil"/>
              <w:left w:val="nil"/>
              <w:bottom w:val="nil"/>
              <w:right w:val="nil"/>
            </w:tcBorders>
            <w:shd w:val="clear" w:color="auto" w:fill="auto"/>
            <w:noWrap/>
            <w:vAlign w:val="center"/>
            <w:hideMark/>
          </w:tcPr>
          <w:p w14:paraId="46F3A52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17,500</w:t>
            </w:r>
          </w:p>
        </w:tc>
        <w:tc>
          <w:tcPr>
            <w:tcW w:w="0" w:type="auto"/>
            <w:tcBorders>
              <w:top w:val="nil"/>
              <w:left w:val="nil"/>
              <w:bottom w:val="nil"/>
              <w:right w:val="nil"/>
            </w:tcBorders>
            <w:shd w:val="clear" w:color="auto" w:fill="auto"/>
            <w:noWrap/>
            <w:vAlign w:val="center"/>
            <w:hideMark/>
          </w:tcPr>
          <w:p w14:paraId="0C14D11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20,000</w:t>
            </w:r>
          </w:p>
        </w:tc>
        <w:tc>
          <w:tcPr>
            <w:tcW w:w="0" w:type="auto"/>
            <w:tcBorders>
              <w:top w:val="nil"/>
              <w:left w:val="nil"/>
              <w:bottom w:val="nil"/>
              <w:right w:val="nil"/>
            </w:tcBorders>
            <w:shd w:val="clear" w:color="auto" w:fill="auto"/>
            <w:noWrap/>
            <w:vAlign w:val="center"/>
            <w:hideMark/>
          </w:tcPr>
          <w:p w14:paraId="15A74BF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22,500</w:t>
            </w:r>
          </w:p>
        </w:tc>
        <w:tc>
          <w:tcPr>
            <w:tcW w:w="0" w:type="auto"/>
            <w:tcBorders>
              <w:top w:val="nil"/>
              <w:left w:val="nil"/>
              <w:bottom w:val="nil"/>
              <w:right w:val="nil"/>
            </w:tcBorders>
            <w:shd w:val="clear" w:color="auto" w:fill="auto"/>
            <w:noWrap/>
            <w:vAlign w:val="center"/>
            <w:hideMark/>
          </w:tcPr>
          <w:p w14:paraId="4E19CA9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25,000</w:t>
            </w:r>
          </w:p>
        </w:tc>
        <w:tc>
          <w:tcPr>
            <w:tcW w:w="0" w:type="auto"/>
            <w:tcBorders>
              <w:top w:val="nil"/>
              <w:left w:val="nil"/>
              <w:bottom w:val="nil"/>
              <w:right w:val="nil"/>
            </w:tcBorders>
            <w:shd w:val="clear" w:color="auto" w:fill="auto"/>
            <w:noWrap/>
            <w:vAlign w:val="center"/>
            <w:hideMark/>
          </w:tcPr>
          <w:p w14:paraId="4E7E2C31"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27,500</w:t>
            </w:r>
          </w:p>
        </w:tc>
        <w:tc>
          <w:tcPr>
            <w:tcW w:w="0" w:type="auto"/>
            <w:tcBorders>
              <w:top w:val="nil"/>
              <w:left w:val="nil"/>
              <w:bottom w:val="nil"/>
              <w:right w:val="nil"/>
            </w:tcBorders>
            <w:shd w:val="clear" w:color="auto" w:fill="auto"/>
            <w:noWrap/>
            <w:vAlign w:val="center"/>
            <w:hideMark/>
          </w:tcPr>
          <w:p w14:paraId="5972411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30,000</w:t>
            </w:r>
          </w:p>
        </w:tc>
        <w:tc>
          <w:tcPr>
            <w:tcW w:w="0" w:type="auto"/>
            <w:tcBorders>
              <w:top w:val="nil"/>
              <w:left w:val="nil"/>
              <w:bottom w:val="nil"/>
              <w:right w:val="nil"/>
            </w:tcBorders>
            <w:shd w:val="clear" w:color="auto" w:fill="auto"/>
            <w:noWrap/>
            <w:vAlign w:val="center"/>
            <w:hideMark/>
          </w:tcPr>
          <w:p w14:paraId="0F391CA1"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32,500</w:t>
            </w:r>
          </w:p>
        </w:tc>
        <w:tc>
          <w:tcPr>
            <w:tcW w:w="0" w:type="auto"/>
            <w:tcBorders>
              <w:top w:val="nil"/>
              <w:left w:val="nil"/>
              <w:bottom w:val="nil"/>
              <w:right w:val="nil"/>
            </w:tcBorders>
            <w:shd w:val="clear" w:color="auto" w:fill="auto"/>
            <w:noWrap/>
            <w:vAlign w:val="center"/>
            <w:hideMark/>
          </w:tcPr>
          <w:p w14:paraId="1D0C023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35,000</w:t>
            </w:r>
          </w:p>
        </w:tc>
        <w:tc>
          <w:tcPr>
            <w:tcW w:w="0" w:type="auto"/>
            <w:tcBorders>
              <w:top w:val="nil"/>
              <w:left w:val="nil"/>
              <w:bottom w:val="nil"/>
              <w:right w:val="nil"/>
            </w:tcBorders>
            <w:shd w:val="clear" w:color="auto" w:fill="auto"/>
            <w:noWrap/>
            <w:vAlign w:val="center"/>
            <w:hideMark/>
          </w:tcPr>
          <w:p w14:paraId="70BDB48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37,500</w:t>
            </w:r>
          </w:p>
        </w:tc>
        <w:tc>
          <w:tcPr>
            <w:tcW w:w="0" w:type="auto"/>
            <w:tcBorders>
              <w:top w:val="nil"/>
              <w:left w:val="nil"/>
              <w:bottom w:val="nil"/>
              <w:right w:val="nil"/>
            </w:tcBorders>
            <w:shd w:val="clear" w:color="auto" w:fill="auto"/>
            <w:noWrap/>
            <w:vAlign w:val="center"/>
            <w:hideMark/>
          </w:tcPr>
          <w:p w14:paraId="38C3498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40,000</w:t>
            </w:r>
          </w:p>
        </w:tc>
      </w:tr>
      <w:tr w:rsidR="006E6FF6" w:rsidRPr="004D60D8" w14:paraId="17D67118" w14:textId="77777777" w:rsidTr="00CF0BB2">
        <w:trPr>
          <w:trHeight w:val="300"/>
        </w:trPr>
        <w:tc>
          <w:tcPr>
            <w:tcW w:w="0" w:type="auto"/>
            <w:tcBorders>
              <w:top w:val="nil"/>
              <w:left w:val="nil"/>
              <w:bottom w:val="single" w:sz="8" w:space="0" w:color="auto"/>
              <w:right w:val="nil"/>
            </w:tcBorders>
            <w:shd w:val="clear" w:color="auto" w:fill="auto"/>
            <w:noWrap/>
            <w:vAlign w:val="center"/>
            <w:hideMark/>
          </w:tcPr>
          <w:p w14:paraId="1458C54B" w14:textId="77777777"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Maximum Storage (T)</w:t>
            </w:r>
          </w:p>
        </w:tc>
        <w:tc>
          <w:tcPr>
            <w:tcW w:w="0" w:type="auto"/>
            <w:tcBorders>
              <w:top w:val="nil"/>
              <w:left w:val="nil"/>
              <w:bottom w:val="single" w:sz="8" w:space="0" w:color="auto"/>
              <w:right w:val="nil"/>
            </w:tcBorders>
            <w:shd w:val="clear" w:color="auto" w:fill="auto"/>
            <w:noWrap/>
            <w:vAlign w:val="center"/>
            <w:hideMark/>
          </w:tcPr>
          <w:p w14:paraId="2C9591C2"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1,000</w:t>
            </w:r>
          </w:p>
        </w:tc>
        <w:tc>
          <w:tcPr>
            <w:tcW w:w="0" w:type="auto"/>
            <w:tcBorders>
              <w:top w:val="nil"/>
              <w:left w:val="nil"/>
              <w:bottom w:val="single" w:sz="8" w:space="0" w:color="auto"/>
              <w:right w:val="nil"/>
            </w:tcBorders>
            <w:shd w:val="clear" w:color="auto" w:fill="auto"/>
            <w:noWrap/>
            <w:vAlign w:val="center"/>
            <w:hideMark/>
          </w:tcPr>
          <w:p w14:paraId="01058C3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2,900</w:t>
            </w:r>
          </w:p>
        </w:tc>
        <w:tc>
          <w:tcPr>
            <w:tcW w:w="0" w:type="auto"/>
            <w:tcBorders>
              <w:top w:val="nil"/>
              <w:left w:val="nil"/>
              <w:bottom w:val="single" w:sz="8" w:space="0" w:color="auto"/>
              <w:right w:val="nil"/>
            </w:tcBorders>
            <w:shd w:val="clear" w:color="auto" w:fill="auto"/>
            <w:noWrap/>
            <w:vAlign w:val="center"/>
            <w:hideMark/>
          </w:tcPr>
          <w:p w14:paraId="4CE080B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4,800</w:t>
            </w:r>
          </w:p>
        </w:tc>
        <w:tc>
          <w:tcPr>
            <w:tcW w:w="0" w:type="auto"/>
            <w:tcBorders>
              <w:top w:val="nil"/>
              <w:left w:val="nil"/>
              <w:bottom w:val="single" w:sz="8" w:space="0" w:color="auto"/>
              <w:right w:val="nil"/>
            </w:tcBorders>
            <w:shd w:val="clear" w:color="auto" w:fill="auto"/>
            <w:noWrap/>
            <w:vAlign w:val="center"/>
            <w:hideMark/>
          </w:tcPr>
          <w:p w14:paraId="5BB7579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6,700</w:t>
            </w:r>
          </w:p>
        </w:tc>
        <w:tc>
          <w:tcPr>
            <w:tcW w:w="0" w:type="auto"/>
            <w:tcBorders>
              <w:top w:val="nil"/>
              <w:left w:val="nil"/>
              <w:bottom w:val="single" w:sz="8" w:space="0" w:color="auto"/>
              <w:right w:val="nil"/>
            </w:tcBorders>
            <w:shd w:val="clear" w:color="auto" w:fill="auto"/>
            <w:noWrap/>
            <w:vAlign w:val="center"/>
            <w:hideMark/>
          </w:tcPr>
          <w:p w14:paraId="23A8BA2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8,600</w:t>
            </w:r>
          </w:p>
        </w:tc>
        <w:tc>
          <w:tcPr>
            <w:tcW w:w="0" w:type="auto"/>
            <w:tcBorders>
              <w:top w:val="nil"/>
              <w:left w:val="nil"/>
              <w:bottom w:val="single" w:sz="8" w:space="0" w:color="auto"/>
              <w:right w:val="nil"/>
            </w:tcBorders>
            <w:shd w:val="clear" w:color="auto" w:fill="auto"/>
            <w:noWrap/>
            <w:vAlign w:val="center"/>
            <w:hideMark/>
          </w:tcPr>
          <w:p w14:paraId="1AFAA37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10,500</w:t>
            </w:r>
          </w:p>
        </w:tc>
        <w:tc>
          <w:tcPr>
            <w:tcW w:w="0" w:type="auto"/>
            <w:tcBorders>
              <w:top w:val="nil"/>
              <w:left w:val="nil"/>
              <w:bottom w:val="single" w:sz="8" w:space="0" w:color="auto"/>
              <w:right w:val="nil"/>
            </w:tcBorders>
            <w:shd w:val="clear" w:color="auto" w:fill="auto"/>
            <w:noWrap/>
            <w:vAlign w:val="center"/>
            <w:hideMark/>
          </w:tcPr>
          <w:p w14:paraId="1C5DEDA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12,400</w:t>
            </w:r>
          </w:p>
        </w:tc>
        <w:tc>
          <w:tcPr>
            <w:tcW w:w="0" w:type="auto"/>
            <w:tcBorders>
              <w:top w:val="nil"/>
              <w:left w:val="nil"/>
              <w:bottom w:val="single" w:sz="8" w:space="0" w:color="auto"/>
              <w:right w:val="nil"/>
            </w:tcBorders>
            <w:shd w:val="clear" w:color="auto" w:fill="auto"/>
            <w:noWrap/>
            <w:vAlign w:val="center"/>
            <w:hideMark/>
          </w:tcPr>
          <w:p w14:paraId="5A72652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14,300</w:t>
            </w:r>
          </w:p>
        </w:tc>
        <w:tc>
          <w:tcPr>
            <w:tcW w:w="0" w:type="auto"/>
            <w:tcBorders>
              <w:top w:val="nil"/>
              <w:left w:val="nil"/>
              <w:bottom w:val="single" w:sz="8" w:space="0" w:color="auto"/>
              <w:right w:val="nil"/>
            </w:tcBorders>
            <w:shd w:val="clear" w:color="auto" w:fill="auto"/>
            <w:noWrap/>
            <w:vAlign w:val="center"/>
            <w:hideMark/>
          </w:tcPr>
          <w:p w14:paraId="719F41F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16,200</w:t>
            </w:r>
          </w:p>
        </w:tc>
        <w:tc>
          <w:tcPr>
            <w:tcW w:w="0" w:type="auto"/>
            <w:tcBorders>
              <w:top w:val="nil"/>
              <w:left w:val="nil"/>
              <w:bottom w:val="single" w:sz="8" w:space="0" w:color="auto"/>
              <w:right w:val="nil"/>
            </w:tcBorders>
            <w:shd w:val="clear" w:color="auto" w:fill="auto"/>
            <w:noWrap/>
            <w:vAlign w:val="center"/>
            <w:hideMark/>
          </w:tcPr>
          <w:p w14:paraId="05B26E6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18,100</w:t>
            </w:r>
          </w:p>
        </w:tc>
        <w:tc>
          <w:tcPr>
            <w:tcW w:w="0" w:type="auto"/>
            <w:tcBorders>
              <w:top w:val="nil"/>
              <w:left w:val="nil"/>
              <w:bottom w:val="single" w:sz="8" w:space="0" w:color="auto"/>
              <w:right w:val="nil"/>
            </w:tcBorders>
            <w:shd w:val="clear" w:color="auto" w:fill="auto"/>
            <w:noWrap/>
            <w:vAlign w:val="center"/>
            <w:hideMark/>
          </w:tcPr>
          <w:p w14:paraId="294359BD"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20,000</w:t>
            </w:r>
          </w:p>
        </w:tc>
      </w:tr>
      <w:tr w:rsidR="006E6FF6" w:rsidRPr="004D60D8" w14:paraId="42F45B7C" w14:textId="77777777" w:rsidTr="00CF0BB2">
        <w:trPr>
          <w:trHeight w:val="290"/>
        </w:trPr>
        <w:tc>
          <w:tcPr>
            <w:tcW w:w="0" w:type="auto"/>
            <w:tcBorders>
              <w:top w:val="nil"/>
              <w:left w:val="nil"/>
              <w:bottom w:val="nil"/>
              <w:right w:val="nil"/>
            </w:tcBorders>
            <w:shd w:val="clear" w:color="auto" w:fill="auto"/>
            <w:noWrap/>
            <w:vAlign w:val="center"/>
            <w:hideMark/>
          </w:tcPr>
          <w:p w14:paraId="18BD597F" w14:textId="1EB4829E"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Overnight Capital Cost, $</w:t>
            </w:r>
          </w:p>
        </w:tc>
        <w:tc>
          <w:tcPr>
            <w:tcW w:w="0" w:type="auto"/>
            <w:tcBorders>
              <w:top w:val="nil"/>
              <w:left w:val="nil"/>
              <w:bottom w:val="nil"/>
              <w:right w:val="nil"/>
            </w:tcBorders>
            <w:shd w:val="clear" w:color="auto" w:fill="auto"/>
            <w:noWrap/>
            <w:vAlign w:val="center"/>
            <w:hideMark/>
          </w:tcPr>
          <w:p w14:paraId="331F2452"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125,018,316</w:t>
            </w:r>
          </w:p>
        </w:tc>
        <w:tc>
          <w:tcPr>
            <w:tcW w:w="0" w:type="auto"/>
            <w:tcBorders>
              <w:top w:val="nil"/>
              <w:left w:val="nil"/>
              <w:bottom w:val="nil"/>
              <w:right w:val="nil"/>
            </w:tcBorders>
            <w:shd w:val="clear" w:color="auto" w:fill="auto"/>
            <w:noWrap/>
            <w:vAlign w:val="center"/>
            <w:hideMark/>
          </w:tcPr>
          <w:p w14:paraId="4CC126B2"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195,582,127</w:t>
            </w:r>
          </w:p>
        </w:tc>
        <w:tc>
          <w:tcPr>
            <w:tcW w:w="0" w:type="auto"/>
            <w:tcBorders>
              <w:top w:val="nil"/>
              <w:left w:val="nil"/>
              <w:bottom w:val="nil"/>
              <w:right w:val="nil"/>
            </w:tcBorders>
            <w:shd w:val="clear" w:color="auto" w:fill="auto"/>
            <w:noWrap/>
            <w:vAlign w:val="center"/>
            <w:hideMark/>
          </w:tcPr>
          <w:p w14:paraId="28F64A6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262,794,985</w:t>
            </w:r>
          </w:p>
        </w:tc>
        <w:tc>
          <w:tcPr>
            <w:tcW w:w="0" w:type="auto"/>
            <w:tcBorders>
              <w:top w:val="nil"/>
              <w:left w:val="nil"/>
              <w:bottom w:val="nil"/>
              <w:right w:val="nil"/>
            </w:tcBorders>
            <w:shd w:val="clear" w:color="auto" w:fill="auto"/>
            <w:noWrap/>
            <w:vAlign w:val="center"/>
            <w:hideMark/>
          </w:tcPr>
          <w:p w14:paraId="0B909BF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328,088,498</w:t>
            </w:r>
          </w:p>
        </w:tc>
        <w:tc>
          <w:tcPr>
            <w:tcW w:w="0" w:type="auto"/>
            <w:tcBorders>
              <w:top w:val="nil"/>
              <w:left w:val="nil"/>
              <w:bottom w:val="nil"/>
              <w:right w:val="nil"/>
            </w:tcBorders>
            <w:shd w:val="clear" w:color="auto" w:fill="auto"/>
            <w:noWrap/>
            <w:vAlign w:val="center"/>
            <w:hideMark/>
          </w:tcPr>
          <w:p w14:paraId="45BD4BE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392,039,451</w:t>
            </w:r>
          </w:p>
        </w:tc>
        <w:tc>
          <w:tcPr>
            <w:tcW w:w="0" w:type="auto"/>
            <w:tcBorders>
              <w:top w:val="nil"/>
              <w:left w:val="nil"/>
              <w:bottom w:val="nil"/>
              <w:right w:val="nil"/>
            </w:tcBorders>
            <w:shd w:val="clear" w:color="auto" w:fill="auto"/>
            <w:noWrap/>
            <w:vAlign w:val="center"/>
            <w:hideMark/>
          </w:tcPr>
          <w:p w14:paraId="0A165EC0"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454,968,392</w:t>
            </w:r>
          </w:p>
        </w:tc>
        <w:tc>
          <w:tcPr>
            <w:tcW w:w="0" w:type="auto"/>
            <w:tcBorders>
              <w:top w:val="nil"/>
              <w:left w:val="nil"/>
              <w:bottom w:val="nil"/>
              <w:right w:val="nil"/>
            </w:tcBorders>
            <w:shd w:val="clear" w:color="auto" w:fill="auto"/>
            <w:noWrap/>
            <w:vAlign w:val="center"/>
            <w:hideMark/>
          </w:tcPr>
          <w:p w14:paraId="173DA03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517,079,648</w:t>
            </w:r>
          </w:p>
        </w:tc>
        <w:tc>
          <w:tcPr>
            <w:tcW w:w="0" w:type="auto"/>
            <w:tcBorders>
              <w:top w:val="nil"/>
              <w:left w:val="nil"/>
              <w:bottom w:val="nil"/>
              <w:right w:val="nil"/>
            </w:tcBorders>
            <w:shd w:val="clear" w:color="auto" w:fill="auto"/>
            <w:noWrap/>
            <w:vAlign w:val="center"/>
            <w:hideMark/>
          </w:tcPr>
          <w:p w14:paraId="3237A410"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578,514,388</w:t>
            </w:r>
          </w:p>
        </w:tc>
        <w:tc>
          <w:tcPr>
            <w:tcW w:w="0" w:type="auto"/>
            <w:tcBorders>
              <w:top w:val="nil"/>
              <w:left w:val="nil"/>
              <w:bottom w:val="nil"/>
              <w:right w:val="nil"/>
            </w:tcBorders>
            <w:shd w:val="clear" w:color="auto" w:fill="auto"/>
            <w:noWrap/>
            <w:vAlign w:val="center"/>
            <w:hideMark/>
          </w:tcPr>
          <w:p w14:paraId="1B9DC3F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639,375,591</w:t>
            </w:r>
          </w:p>
        </w:tc>
        <w:tc>
          <w:tcPr>
            <w:tcW w:w="0" w:type="auto"/>
            <w:tcBorders>
              <w:top w:val="nil"/>
              <w:left w:val="nil"/>
              <w:bottom w:val="nil"/>
              <w:right w:val="nil"/>
            </w:tcBorders>
            <w:shd w:val="clear" w:color="auto" w:fill="auto"/>
            <w:noWrap/>
            <w:vAlign w:val="center"/>
            <w:hideMark/>
          </w:tcPr>
          <w:p w14:paraId="0E74BA5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699,741,410</w:t>
            </w:r>
          </w:p>
        </w:tc>
        <w:tc>
          <w:tcPr>
            <w:tcW w:w="0" w:type="auto"/>
            <w:tcBorders>
              <w:top w:val="nil"/>
              <w:left w:val="nil"/>
              <w:bottom w:val="nil"/>
              <w:right w:val="nil"/>
            </w:tcBorders>
            <w:shd w:val="clear" w:color="auto" w:fill="auto"/>
            <w:noWrap/>
            <w:vAlign w:val="center"/>
            <w:hideMark/>
          </w:tcPr>
          <w:p w14:paraId="2F1E92D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759,672,982</w:t>
            </w:r>
          </w:p>
        </w:tc>
      </w:tr>
      <w:tr w:rsidR="006E6FF6" w:rsidRPr="004D60D8" w14:paraId="15566107" w14:textId="77777777" w:rsidTr="00CF0BB2">
        <w:trPr>
          <w:trHeight w:val="290"/>
        </w:trPr>
        <w:tc>
          <w:tcPr>
            <w:tcW w:w="0" w:type="auto"/>
            <w:tcBorders>
              <w:top w:val="nil"/>
              <w:left w:val="nil"/>
              <w:bottom w:val="nil"/>
              <w:right w:val="nil"/>
            </w:tcBorders>
            <w:shd w:val="clear" w:color="auto" w:fill="auto"/>
            <w:noWrap/>
            <w:vAlign w:val="center"/>
            <w:hideMark/>
          </w:tcPr>
          <w:p w14:paraId="336676EB"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Hydrogenation Capacity</w:t>
            </w:r>
          </w:p>
        </w:tc>
        <w:tc>
          <w:tcPr>
            <w:tcW w:w="0" w:type="auto"/>
            <w:tcBorders>
              <w:top w:val="nil"/>
              <w:left w:val="nil"/>
              <w:bottom w:val="nil"/>
              <w:right w:val="nil"/>
            </w:tcBorders>
            <w:shd w:val="clear" w:color="auto" w:fill="auto"/>
            <w:noWrap/>
            <w:vAlign w:val="center"/>
            <w:hideMark/>
          </w:tcPr>
          <w:p w14:paraId="7CECEB2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20,511,891</w:t>
            </w:r>
          </w:p>
        </w:tc>
        <w:tc>
          <w:tcPr>
            <w:tcW w:w="0" w:type="auto"/>
            <w:tcBorders>
              <w:top w:val="nil"/>
              <w:left w:val="nil"/>
              <w:bottom w:val="nil"/>
              <w:right w:val="nil"/>
            </w:tcBorders>
            <w:shd w:val="clear" w:color="auto" w:fill="auto"/>
            <w:noWrap/>
            <w:vAlign w:val="center"/>
            <w:hideMark/>
          </w:tcPr>
          <w:p w14:paraId="2806834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25,979,842</w:t>
            </w:r>
          </w:p>
        </w:tc>
        <w:tc>
          <w:tcPr>
            <w:tcW w:w="0" w:type="auto"/>
            <w:tcBorders>
              <w:top w:val="nil"/>
              <w:left w:val="nil"/>
              <w:bottom w:val="nil"/>
              <w:right w:val="nil"/>
            </w:tcBorders>
            <w:shd w:val="clear" w:color="auto" w:fill="auto"/>
            <w:noWrap/>
            <w:vAlign w:val="center"/>
            <w:hideMark/>
          </w:tcPr>
          <w:p w14:paraId="1CE6E62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31,150,735</w:t>
            </w:r>
          </w:p>
        </w:tc>
        <w:tc>
          <w:tcPr>
            <w:tcW w:w="0" w:type="auto"/>
            <w:tcBorders>
              <w:top w:val="nil"/>
              <w:left w:val="nil"/>
              <w:bottom w:val="nil"/>
              <w:right w:val="nil"/>
            </w:tcBorders>
            <w:shd w:val="clear" w:color="auto" w:fill="auto"/>
            <w:noWrap/>
            <w:vAlign w:val="center"/>
            <w:hideMark/>
          </w:tcPr>
          <w:p w14:paraId="61192CB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36,116,607</w:t>
            </w:r>
          </w:p>
        </w:tc>
        <w:tc>
          <w:tcPr>
            <w:tcW w:w="0" w:type="auto"/>
            <w:tcBorders>
              <w:top w:val="nil"/>
              <w:left w:val="nil"/>
              <w:bottom w:val="nil"/>
              <w:right w:val="nil"/>
            </w:tcBorders>
            <w:shd w:val="clear" w:color="auto" w:fill="auto"/>
            <w:noWrap/>
            <w:vAlign w:val="center"/>
            <w:hideMark/>
          </w:tcPr>
          <w:p w14:paraId="1DD4E5D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40,929,348</w:t>
            </w:r>
          </w:p>
        </w:tc>
        <w:tc>
          <w:tcPr>
            <w:tcW w:w="0" w:type="auto"/>
            <w:tcBorders>
              <w:top w:val="nil"/>
              <w:left w:val="nil"/>
              <w:bottom w:val="nil"/>
              <w:right w:val="nil"/>
            </w:tcBorders>
            <w:shd w:val="clear" w:color="auto" w:fill="auto"/>
            <w:noWrap/>
            <w:vAlign w:val="center"/>
            <w:hideMark/>
          </w:tcPr>
          <w:p w14:paraId="0B82F50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45,621,729</w:t>
            </w:r>
          </w:p>
        </w:tc>
        <w:tc>
          <w:tcPr>
            <w:tcW w:w="0" w:type="auto"/>
            <w:tcBorders>
              <w:top w:val="nil"/>
              <w:left w:val="nil"/>
              <w:bottom w:val="nil"/>
              <w:right w:val="nil"/>
            </w:tcBorders>
            <w:shd w:val="clear" w:color="auto" w:fill="auto"/>
            <w:noWrap/>
            <w:vAlign w:val="center"/>
            <w:hideMark/>
          </w:tcPr>
          <w:p w14:paraId="39FFBC2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50,216,060</w:t>
            </w:r>
          </w:p>
        </w:tc>
        <w:tc>
          <w:tcPr>
            <w:tcW w:w="0" w:type="auto"/>
            <w:tcBorders>
              <w:top w:val="nil"/>
              <w:left w:val="nil"/>
              <w:bottom w:val="nil"/>
              <w:right w:val="nil"/>
            </w:tcBorders>
            <w:shd w:val="clear" w:color="auto" w:fill="auto"/>
            <w:noWrap/>
            <w:vAlign w:val="center"/>
            <w:hideMark/>
          </w:tcPr>
          <w:p w14:paraId="22E2FCF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54,728,374</w:t>
            </w:r>
          </w:p>
        </w:tc>
        <w:tc>
          <w:tcPr>
            <w:tcW w:w="0" w:type="auto"/>
            <w:tcBorders>
              <w:top w:val="nil"/>
              <w:left w:val="nil"/>
              <w:bottom w:val="nil"/>
              <w:right w:val="nil"/>
            </w:tcBorders>
            <w:shd w:val="clear" w:color="auto" w:fill="auto"/>
            <w:noWrap/>
            <w:vAlign w:val="center"/>
            <w:hideMark/>
          </w:tcPr>
          <w:p w14:paraId="79104C4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59,170,662</w:t>
            </w:r>
          </w:p>
        </w:tc>
        <w:tc>
          <w:tcPr>
            <w:tcW w:w="0" w:type="auto"/>
            <w:tcBorders>
              <w:top w:val="nil"/>
              <w:left w:val="nil"/>
              <w:bottom w:val="nil"/>
              <w:right w:val="nil"/>
            </w:tcBorders>
            <w:shd w:val="clear" w:color="auto" w:fill="auto"/>
            <w:noWrap/>
            <w:vAlign w:val="center"/>
            <w:hideMark/>
          </w:tcPr>
          <w:p w14:paraId="014C1060"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63,552,186</w:t>
            </w:r>
          </w:p>
        </w:tc>
        <w:tc>
          <w:tcPr>
            <w:tcW w:w="0" w:type="auto"/>
            <w:tcBorders>
              <w:top w:val="nil"/>
              <w:left w:val="nil"/>
              <w:bottom w:val="nil"/>
              <w:right w:val="nil"/>
            </w:tcBorders>
            <w:shd w:val="clear" w:color="auto" w:fill="auto"/>
            <w:noWrap/>
            <w:vAlign w:val="center"/>
            <w:hideMark/>
          </w:tcPr>
          <w:p w14:paraId="5E1CE3A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67,880,279</w:t>
            </w:r>
          </w:p>
        </w:tc>
      </w:tr>
      <w:tr w:rsidR="006E6FF6" w:rsidRPr="004D60D8" w14:paraId="33264F5E" w14:textId="77777777" w:rsidTr="00CF0BB2">
        <w:trPr>
          <w:trHeight w:val="290"/>
        </w:trPr>
        <w:tc>
          <w:tcPr>
            <w:tcW w:w="0" w:type="auto"/>
            <w:tcBorders>
              <w:top w:val="nil"/>
              <w:left w:val="nil"/>
              <w:bottom w:val="nil"/>
              <w:right w:val="nil"/>
            </w:tcBorders>
            <w:shd w:val="clear" w:color="auto" w:fill="auto"/>
            <w:noWrap/>
            <w:vAlign w:val="center"/>
            <w:hideMark/>
          </w:tcPr>
          <w:p w14:paraId="2DD502F1"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Dehydrogenation Capacity</w:t>
            </w:r>
          </w:p>
        </w:tc>
        <w:tc>
          <w:tcPr>
            <w:tcW w:w="0" w:type="auto"/>
            <w:tcBorders>
              <w:top w:val="nil"/>
              <w:left w:val="nil"/>
              <w:bottom w:val="nil"/>
              <w:right w:val="nil"/>
            </w:tcBorders>
            <w:shd w:val="clear" w:color="auto" w:fill="auto"/>
            <w:noWrap/>
            <w:vAlign w:val="center"/>
            <w:hideMark/>
          </w:tcPr>
          <w:p w14:paraId="5FDE904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77,634,403</w:t>
            </w:r>
          </w:p>
        </w:tc>
        <w:tc>
          <w:tcPr>
            <w:tcW w:w="0" w:type="auto"/>
            <w:tcBorders>
              <w:top w:val="nil"/>
              <w:left w:val="nil"/>
              <w:bottom w:val="nil"/>
              <w:right w:val="nil"/>
            </w:tcBorders>
            <w:shd w:val="clear" w:color="auto" w:fill="auto"/>
            <w:noWrap/>
            <w:vAlign w:val="center"/>
            <w:hideMark/>
          </w:tcPr>
          <w:p w14:paraId="7851942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99,855,800</w:t>
            </w:r>
          </w:p>
        </w:tc>
        <w:tc>
          <w:tcPr>
            <w:tcW w:w="0" w:type="auto"/>
            <w:tcBorders>
              <w:top w:val="nil"/>
              <w:left w:val="nil"/>
              <w:bottom w:val="nil"/>
              <w:right w:val="nil"/>
            </w:tcBorders>
            <w:shd w:val="clear" w:color="auto" w:fill="auto"/>
            <w:noWrap/>
            <w:vAlign w:val="center"/>
            <w:hideMark/>
          </w:tcPr>
          <w:p w14:paraId="6CADD4B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120,796,032</w:t>
            </w:r>
          </w:p>
        </w:tc>
        <w:tc>
          <w:tcPr>
            <w:tcW w:w="0" w:type="auto"/>
            <w:tcBorders>
              <w:top w:val="nil"/>
              <w:left w:val="nil"/>
              <w:bottom w:val="nil"/>
              <w:right w:val="nil"/>
            </w:tcBorders>
            <w:shd w:val="clear" w:color="auto" w:fill="auto"/>
            <w:noWrap/>
            <w:vAlign w:val="center"/>
            <w:hideMark/>
          </w:tcPr>
          <w:p w14:paraId="63C6590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140,830,533</w:t>
            </w:r>
          </w:p>
        </w:tc>
        <w:tc>
          <w:tcPr>
            <w:tcW w:w="0" w:type="auto"/>
            <w:tcBorders>
              <w:top w:val="nil"/>
              <w:left w:val="nil"/>
              <w:bottom w:val="nil"/>
              <w:right w:val="nil"/>
            </w:tcBorders>
            <w:shd w:val="clear" w:color="auto" w:fill="auto"/>
            <w:noWrap/>
            <w:vAlign w:val="center"/>
            <w:hideMark/>
          </w:tcPr>
          <w:p w14:paraId="4B516430"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160,176,222</w:t>
            </w:r>
          </w:p>
        </w:tc>
        <w:tc>
          <w:tcPr>
            <w:tcW w:w="0" w:type="auto"/>
            <w:tcBorders>
              <w:top w:val="nil"/>
              <w:left w:val="nil"/>
              <w:bottom w:val="nil"/>
              <w:right w:val="nil"/>
            </w:tcBorders>
            <w:shd w:val="clear" w:color="auto" w:fill="auto"/>
            <w:noWrap/>
            <w:vAlign w:val="center"/>
            <w:hideMark/>
          </w:tcPr>
          <w:p w14:paraId="0C7D63B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178,972,691</w:t>
            </w:r>
          </w:p>
        </w:tc>
        <w:tc>
          <w:tcPr>
            <w:tcW w:w="0" w:type="auto"/>
            <w:tcBorders>
              <w:top w:val="nil"/>
              <w:left w:val="nil"/>
              <w:bottom w:val="nil"/>
              <w:right w:val="nil"/>
            </w:tcBorders>
            <w:shd w:val="clear" w:color="auto" w:fill="auto"/>
            <w:noWrap/>
            <w:vAlign w:val="center"/>
            <w:hideMark/>
          </w:tcPr>
          <w:p w14:paraId="416690D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197,316,431</w:t>
            </w:r>
          </w:p>
        </w:tc>
        <w:tc>
          <w:tcPr>
            <w:tcW w:w="0" w:type="auto"/>
            <w:tcBorders>
              <w:top w:val="nil"/>
              <w:left w:val="nil"/>
              <w:bottom w:val="nil"/>
              <w:right w:val="nil"/>
            </w:tcBorders>
            <w:shd w:val="clear" w:color="auto" w:fill="auto"/>
            <w:noWrap/>
            <w:vAlign w:val="center"/>
            <w:hideMark/>
          </w:tcPr>
          <w:p w14:paraId="16CF2E2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215,277,651</w:t>
            </w:r>
          </w:p>
        </w:tc>
        <w:tc>
          <w:tcPr>
            <w:tcW w:w="0" w:type="auto"/>
            <w:tcBorders>
              <w:top w:val="nil"/>
              <w:left w:val="nil"/>
              <w:bottom w:val="nil"/>
              <w:right w:val="nil"/>
            </w:tcBorders>
            <w:shd w:val="clear" w:color="auto" w:fill="auto"/>
            <w:noWrap/>
            <w:vAlign w:val="center"/>
            <w:hideMark/>
          </w:tcPr>
          <w:p w14:paraId="252B0BF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232,909,449</w:t>
            </w:r>
          </w:p>
        </w:tc>
        <w:tc>
          <w:tcPr>
            <w:tcW w:w="0" w:type="auto"/>
            <w:tcBorders>
              <w:top w:val="nil"/>
              <w:left w:val="nil"/>
              <w:bottom w:val="nil"/>
              <w:right w:val="nil"/>
            </w:tcBorders>
            <w:shd w:val="clear" w:color="auto" w:fill="auto"/>
            <w:noWrap/>
            <w:vAlign w:val="center"/>
            <w:hideMark/>
          </w:tcPr>
          <w:p w14:paraId="7F764B6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250,253,211</w:t>
            </w:r>
          </w:p>
        </w:tc>
        <w:tc>
          <w:tcPr>
            <w:tcW w:w="0" w:type="auto"/>
            <w:tcBorders>
              <w:top w:val="nil"/>
              <w:left w:val="nil"/>
              <w:bottom w:val="nil"/>
              <w:right w:val="nil"/>
            </w:tcBorders>
            <w:shd w:val="clear" w:color="auto" w:fill="auto"/>
            <w:noWrap/>
            <w:vAlign w:val="center"/>
            <w:hideMark/>
          </w:tcPr>
          <w:p w14:paraId="7838B93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267,341,985</w:t>
            </w:r>
          </w:p>
        </w:tc>
      </w:tr>
      <w:tr w:rsidR="006E6FF6" w:rsidRPr="004D60D8" w14:paraId="6242C073" w14:textId="77777777" w:rsidTr="00CF0BB2">
        <w:trPr>
          <w:trHeight w:val="290"/>
        </w:trPr>
        <w:tc>
          <w:tcPr>
            <w:tcW w:w="0" w:type="auto"/>
            <w:tcBorders>
              <w:top w:val="nil"/>
              <w:left w:val="nil"/>
              <w:bottom w:val="nil"/>
              <w:right w:val="nil"/>
            </w:tcBorders>
            <w:shd w:val="clear" w:color="auto" w:fill="auto"/>
            <w:noWrap/>
            <w:vAlign w:val="center"/>
            <w:hideMark/>
          </w:tcPr>
          <w:p w14:paraId="5FBFA1A3"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Annual Storage</w:t>
            </w:r>
          </w:p>
        </w:tc>
        <w:tc>
          <w:tcPr>
            <w:tcW w:w="0" w:type="auto"/>
            <w:tcBorders>
              <w:top w:val="nil"/>
              <w:left w:val="nil"/>
              <w:bottom w:val="nil"/>
              <w:right w:val="nil"/>
            </w:tcBorders>
            <w:shd w:val="clear" w:color="auto" w:fill="auto"/>
            <w:noWrap/>
            <w:vAlign w:val="center"/>
            <w:hideMark/>
          </w:tcPr>
          <w:p w14:paraId="55A8D7E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154,584.78</w:t>
            </w:r>
          </w:p>
        </w:tc>
        <w:tc>
          <w:tcPr>
            <w:tcW w:w="0" w:type="auto"/>
            <w:tcBorders>
              <w:top w:val="nil"/>
              <w:left w:val="nil"/>
              <w:bottom w:val="nil"/>
              <w:right w:val="nil"/>
            </w:tcBorders>
            <w:shd w:val="clear" w:color="auto" w:fill="auto"/>
            <w:noWrap/>
            <w:vAlign w:val="center"/>
            <w:hideMark/>
          </w:tcPr>
          <w:p w14:paraId="496FDC7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180,348.91</w:t>
            </w:r>
          </w:p>
        </w:tc>
        <w:tc>
          <w:tcPr>
            <w:tcW w:w="0" w:type="auto"/>
            <w:tcBorders>
              <w:top w:val="nil"/>
              <w:left w:val="nil"/>
              <w:bottom w:val="nil"/>
              <w:right w:val="nil"/>
            </w:tcBorders>
            <w:shd w:val="clear" w:color="auto" w:fill="auto"/>
            <w:noWrap/>
            <w:vAlign w:val="center"/>
            <w:hideMark/>
          </w:tcPr>
          <w:p w14:paraId="636A6EE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206,113.03</w:t>
            </w:r>
          </w:p>
        </w:tc>
        <w:tc>
          <w:tcPr>
            <w:tcW w:w="0" w:type="auto"/>
            <w:tcBorders>
              <w:top w:val="nil"/>
              <w:left w:val="nil"/>
              <w:bottom w:val="nil"/>
              <w:right w:val="nil"/>
            </w:tcBorders>
            <w:shd w:val="clear" w:color="auto" w:fill="auto"/>
            <w:noWrap/>
            <w:vAlign w:val="center"/>
            <w:hideMark/>
          </w:tcPr>
          <w:p w14:paraId="052D059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231,877.16</w:t>
            </w:r>
          </w:p>
        </w:tc>
        <w:tc>
          <w:tcPr>
            <w:tcW w:w="0" w:type="auto"/>
            <w:tcBorders>
              <w:top w:val="nil"/>
              <w:left w:val="nil"/>
              <w:bottom w:val="nil"/>
              <w:right w:val="nil"/>
            </w:tcBorders>
            <w:shd w:val="clear" w:color="auto" w:fill="auto"/>
            <w:noWrap/>
            <w:vAlign w:val="center"/>
            <w:hideMark/>
          </w:tcPr>
          <w:p w14:paraId="2B3CF0EA"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257,641.29</w:t>
            </w:r>
          </w:p>
        </w:tc>
        <w:tc>
          <w:tcPr>
            <w:tcW w:w="0" w:type="auto"/>
            <w:tcBorders>
              <w:top w:val="nil"/>
              <w:left w:val="nil"/>
              <w:bottom w:val="nil"/>
              <w:right w:val="nil"/>
            </w:tcBorders>
            <w:shd w:val="clear" w:color="auto" w:fill="auto"/>
            <w:noWrap/>
            <w:vAlign w:val="center"/>
            <w:hideMark/>
          </w:tcPr>
          <w:p w14:paraId="5BF3002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283,405.42</w:t>
            </w:r>
          </w:p>
        </w:tc>
        <w:tc>
          <w:tcPr>
            <w:tcW w:w="0" w:type="auto"/>
            <w:tcBorders>
              <w:top w:val="nil"/>
              <w:left w:val="nil"/>
              <w:bottom w:val="nil"/>
              <w:right w:val="nil"/>
            </w:tcBorders>
            <w:shd w:val="clear" w:color="auto" w:fill="auto"/>
            <w:noWrap/>
            <w:vAlign w:val="center"/>
            <w:hideMark/>
          </w:tcPr>
          <w:p w14:paraId="145A768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309,169.55</w:t>
            </w:r>
          </w:p>
        </w:tc>
        <w:tc>
          <w:tcPr>
            <w:tcW w:w="0" w:type="auto"/>
            <w:tcBorders>
              <w:top w:val="nil"/>
              <w:left w:val="nil"/>
              <w:bottom w:val="nil"/>
              <w:right w:val="nil"/>
            </w:tcBorders>
            <w:shd w:val="clear" w:color="auto" w:fill="auto"/>
            <w:noWrap/>
            <w:vAlign w:val="center"/>
            <w:hideMark/>
          </w:tcPr>
          <w:p w14:paraId="6D82952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334,933.68</w:t>
            </w:r>
          </w:p>
        </w:tc>
        <w:tc>
          <w:tcPr>
            <w:tcW w:w="0" w:type="auto"/>
            <w:tcBorders>
              <w:top w:val="nil"/>
              <w:left w:val="nil"/>
              <w:bottom w:val="nil"/>
              <w:right w:val="nil"/>
            </w:tcBorders>
            <w:shd w:val="clear" w:color="auto" w:fill="auto"/>
            <w:noWrap/>
            <w:vAlign w:val="center"/>
            <w:hideMark/>
          </w:tcPr>
          <w:p w14:paraId="45A1C1A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360,697.81</w:t>
            </w:r>
          </w:p>
        </w:tc>
        <w:tc>
          <w:tcPr>
            <w:tcW w:w="0" w:type="auto"/>
            <w:tcBorders>
              <w:top w:val="nil"/>
              <w:left w:val="nil"/>
              <w:bottom w:val="nil"/>
              <w:right w:val="nil"/>
            </w:tcBorders>
            <w:shd w:val="clear" w:color="auto" w:fill="auto"/>
            <w:noWrap/>
            <w:vAlign w:val="center"/>
            <w:hideMark/>
          </w:tcPr>
          <w:p w14:paraId="698F097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386,461.94</w:t>
            </w:r>
          </w:p>
        </w:tc>
        <w:tc>
          <w:tcPr>
            <w:tcW w:w="0" w:type="auto"/>
            <w:tcBorders>
              <w:top w:val="nil"/>
              <w:left w:val="nil"/>
              <w:bottom w:val="nil"/>
              <w:right w:val="nil"/>
            </w:tcBorders>
            <w:shd w:val="clear" w:color="auto" w:fill="auto"/>
            <w:noWrap/>
            <w:vAlign w:val="center"/>
            <w:hideMark/>
          </w:tcPr>
          <w:p w14:paraId="2F6C213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412,226.07</w:t>
            </w:r>
          </w:p>
        </w:tc>
      </w:tr>
      <w:tr w:rsidR="006E6FF6" w:rsidRPr="004D60D8" w14:paraId="37F7D956" w14:textId="77777777" w:rsidTr="00CF0BB2">
        <w:trPr>
          <w:trHeight w:val="290"/>
        </w:trPr>
        <w:tc>
          <w:tcPr>
            <w:tcW w:w="0" w:type="auto"/>
            <w:tcBorders>
              <w:top w:val="nil"/>
              <w:left w:val="nil"/>
              <w:bottom w:val="dotDash" w:sz="4" w:space="0" w:color="auto"/>
              <w:right w:val="nil"/>
            </w:tcBorders>
            <w:shd w:val="clear" w:color="auto" w:fill="auto"/>
            <w:noWrap/>
            <w:vAlign w:val="center"/>
            <w:hideMark/>
          </w:tcPr>
          <w:p w14:paraId="35DDDF95"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Maximum Storage</w:t>
            </w:r>
          </w:p>
        </w:tc>
        <w:tc>
          <w:tcPr>
            <w:tcW w:w="0" w:type="auto"/>
            <w:tcBorders>
              <w:top w:val="nil"/>
              <w:left w:val="nil"/>
              <w:bottom w:val="dotDash" w:sz="4" w:space="0" w:color="auto"/>
              <w:right w:val="nil"/>
            </w:tcBorders>
            <w:shd w:val="clear" w:color="auto" w:fill="auto"/>
            <w:noWrap/>
            <w:vAlign w:val="center"/>
            <w:hideMark/>
          </w:tcPr>
          <w:p w14:paraId="1BD72ED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26,717,437</w:t>
            </w:r>
          </w:p>
        </w:tc>
        <w:tc>
          <w:tcPr>
            <w:tcW w:w="0" w:type="auto"/>
            <w:tcBorders>
              <w:top w:val="nil"/>
              <w:left w:val="nil"/>
              <w:bottom w:val="dotDash" w:sz="4" w:space="0" w:color="auto"/>
              <w:right w:val="nil"/>
            </w:tcBorders>
            <w:shd w:val="clear" w:color="auto" w:fill="auto"/>
            <w:noWrap/>
            <w:vAlign w:val="center"/>
            <w:hideMark/>
          </w:tcPr>
          <w:p w14:paraId="292DEF6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69,566,137</w:t>
            </w:r>
          </w:p>
        </w:tc>
        <w:tc>
          <w:tcPr>
            <w:tcW w:w="0" w:type="auto"/>
            <w:tcBorders>
              <w:top w:val="nil"/>
              <w:left w:val="nil"/>
              <w:bottom w:val="dotDash" w:sz="4" w:space="0" w:color="auto"/>
              <w:right w:val="nil"/>
            </w:tcBorders>
            <w:shd w:val="clear" w:color="auto" w:fill="auto"/>
            <w:noWrap/>
            <w:vAlign w:val="center"/>
            <w:hideMark/>
          </w:tcPr>
          <w:p w14:paraId="624582A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110,642,106</w:t>
            </w:r>
          </w:p>
        </w:tc>
        <w:tc>
          <w:tcPr>
            <w:tcW w:w="0" w:type="auto"/>
            <w:tcBorders>
              <w:top w:val="nil"/>
              <w:left w:val="nil"/>
              <w:bottom w:val="dotDash" w:sz="4" w:space="0" w:color="auto"/>
              <w:right w:val="nil"/>
            </w:tcBorders>
            <w:shd w:val="clear" w:color="auto" w:fill="auto"/>
            <w:noWrap/>
            <w:vAlign w:val="center"/>
            <w:hideMark/>
          </w:tcPr>
          <w:p w14:paraId="1FB22AC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150,909,481</w:t>
            </w:r>
          </w:p>
        </w:tc>
        <w:tc>
          <w:tcPr>
            <w:tcW w:w="0" w:type="auto"/>
            <w:tcBorders>
              <w:top w:val="nil"/>
              <w:left w:val="nil"/>
              <w:bottom w:val="dotDash" w:sz="4" w:space="0" w:color="auto"/>
              <w:right w:val="nil"/>
            </w:tcBorders>
            <w:shd w:val="clear" w:color="auto" w:fill="auto"/>
            <w:noWrap/>
            <w:vAlign w:val="center"/>
            <w:hideMark/>
          </w:tcPr>
          <w:p w14:paraId="111F82D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190,676,239</w:t>
            </w:r>
          </w:p>
        </w:tc>
        <w:tc>
          <w:tcPr>
            <w:tcW w:w="0" w:type="auto"/>
            <w:tcBorders>
              <w:top w:val="nil"/>
              <w:left w:val="nil"/>
              <w:bottom w:val="dotDash" w:sz="4" w:space="0" w:color="auto"/>
              <w:right w:val="nil"/>
            </w:tcBorders>
            <w:shd w:val="clear" w:color="auto" w:fill="auto"/>
            <w:noWrap/>
            <w:vAlign w:val="center"/>
            <w:hideMark/>
          </w:tcPr>
          <w:p w14:paraId="00EB193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230,090,567</w:t>
            </w:r>
          </w:p>
        </w:tc>
        <w:tc>
          <w:tcPr>
            <w:tcW w:w="0" w:type="auto"/>
            <w:tcBorders>
              <w:top w:val="nil"/>
              <w:left w:val="nil"/>
              <w:bottom w:val="dotDash" w:sz="4" w:space="0" w:color="auto"/>
              <w:right w:val="nil"/>
            </w:tcBorders>
            <w:shd w:val="clear" w:color="auto" w:fill="auto"/>
            <w:noWrap/>
            <w:vAlign w:val="center"/>
            <w:hideMark/>
          </w:tcPr>
          <w:p w14:paraId="56334C2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269,237,987</w:t>
            </w:r>
          </w:p>
        </w:tc>
        <w:tc>
          <w:tcPr>
            <w:tcW w:w="0" w:type="auto"/>
            <w:tcBorders>
              <w:top w:val="nil"/>
              <w:left w:val="nil"/>
              <w:bottom w:val="dotDash" w:sz="4" w:space="0" w:color="auto"/>
              <w:right w:val="nil"/>
            </w:tcBorders>
            <w:shd w:val="clear" w:color="auto" w:fill="auto"/>
            <w:noWrap/>
            <w:vAlign w:val="center"/>
            <w:hideMark/>
          </w:tcPr>
          <w:p w14:paraId="08FCCFE8"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308,173,430</w:t>
            </w:r>
          </w:p>
        </w:tc>
        <w:tc>
          <w:tcPr>
            <w:tcW w:w="0" w:type="auto"/>
            <w:tcBorders>
              <w:top w:val="nil"/>
              <w:left w:val="nil"/>
              <w:bottom w:val="dotDash" w:sz="4" w:space="0" w:color="auto"/>
              <w:right w:val="nil"/>
            </w:tcBorders>
            <w:shd w:val="clear" w:color="auto" w:fill="auto"/>
            <w:noWrap/>
            <w:vAlign w:val="center"/>
            <w:hideMark/>
          </w:tcPr>
          <w:p w14:paraId="65C0B98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346,934,782</w:t>
            </w:r>
          </w:p>
        </w:tc>
        <w:tc>
          <w:tcPr>
            <w:tcW w:w="0" w:type="auto"/>
            <w:tcBorders>
              <w:top w:val="nil"/>
              <w:left w:val="nil"/>
              <w:bottom w:val="dotDash" w:sz="4" w:space="0" w:color="auto"/>
              <w:right w:val="nil"/>
            </w:tcBorders>
            <w:shd w:val="clear" w:color="auto" w:fill="auto"/>
            <w:noWrap/>
            <w:vAlign w:val="center"/>
            <w:hideMark/>
          </w:tcPr>
          <w:p w14:paraId="2D99ECA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385,549,551</w:t>
            </w:r>
          </w:p>
        </w:tc>
        <w:tc>
          <w:tcPr>
            <w:tcW w:w="0" w:type="auto"/>
            <w:tcBorders>
              <w:top w:val="nil"/>
              <w:left w:val="nil"/>
              <w:bottom w:val="dotDash" w:sz="4" w:space="0" w:color="auto"/>
              <w:right w:val="nil"/>
            </w:tcBorders>
            <w:shd w:val="clear" w:color="auto" w:fill="auto"/>
            <w:noWrap/>
            <w:vAlign w:val="center"/>
            <w:hideMark/>
          </w:tcPr>
          <w:p w14:paraId="051955A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424,038,491</w:t>
            </w:r>
          </w:p>
        </w:tc>
      </w:tr>
      <w:tr w:rsidR="006E6FF6" w:rsidRPr="004D60D8" w14:paraId="7CE82A1E" w14:textId="77777777" w:rsidTr="00CF0BB2">
        <w:trPr>
          <w:trHeight w:val="290"/>
        </w:trPr>
        <w:tc>
          <w:tcPr>
            <w:tcW w:w="0" w:type="auto"/>
            <w:tcBorders>
              <w:top w:val="nil"/>
              <w:left w:val="nil"/>
              <w:bottom w:val="nil"/>
              <w:right w:val="nil"/>
            </w:tcBorders>
            <w:shd w:val="clear" w:color="auto" w:fill="auto"/>
            <w:noWrap/>
            <w:vAlign w:val="center"/>
            <w:hideMark/>
          </w:tcPr>
          <w:p w14:paraId="3A5980C6" w14:textId="45115699"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Fix Operating Cost, $</w:t>
            </w:r>
          </w:p>
        </w:tc>
        <w:tc>
          <w:tcPr>
            <w:tcW w:w="0" w:type="auto"/>
            <w:tcBorders>
              <w:top w:val="nil"/>
              <w:left w:val="nil"/>
              <w:bottom w:val="nil"/>
              <w:right w:val="nil"/>
            </w:tcBorders>
            <w:shd w:val="clear" w:color="auto" w:fill="auto"/>
            <w:noWrap/>
            <w:vAlign w:val="center"/>
            <w:hideMark/>
          </w:tcPr>
          <w:p w14:paraId="16ADFF2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4,622,049</w:t>
            </w:r>
          </w:p>
        </w:tc>
        <w:tc>
          <w:tcPr>
            <w:tcW w:w="0" w:type="auto"/>
            <w:tcBorders>
              <w:top w:val="nil"/>
              <w:left w:val="nil"/>
              <w:bottom w:val="nil"/>
              <w:right w:val="nil"/>
            </w:tcBorders>
            <w:shd w:val="clear" w:color="auto" w:fill="auto"/>
            <w:noWrap/>
            <w:vAlign w:val="center"/>
            <w:hideMark/>
          </w:tcPr>
          <w:p w14:paraId="2C23339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5,487,962</w:t>
            </w:r>
          </w:p>
        </w:tc>
        <w:tc>
          <w:tcPr>
            <w:tcW w:w="0" w:type="auto"/>
            <w:tcBorders>
              <w:top w:val="nil"/>
              <w:left w:val="nil"/>
              <w:bottom w:val="nil"/>
              <w:right w:val="nil"/>
            </w:tcBorders>
            <w:shd w:val="clear" w:color="auto" w:fill="auto"/>
            <w:noWrap/>
            <w:vAlign w:val="center"/>
            <w:hideMark/>
          </w:tcPr>
          <w:p w14:paraId="5D801F2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6,265,739</w:t>
            </w:r>
          </w:p>
        </w:tc>
        <w:tc>
          <w:tcPr>
            <w:tcW w:w="0" w:type="auto"/>
            <w:tcBorders>
              <w:top w:val="nil"/>
              <w:left w:val="nil"/>
              <w:bottom w:val="nil"/>
              <w:right w:val="nil"/>
            </w:tcBorders>
            <w:shd w:val="clear" w:color="auto" w:fill="auto"/>
            <w:noWrap/>
            <w:vAlign w:val="center"/>
            <w:hideMark/>
          </w:tcPr>
          <w:p w14:paraId="1738AE9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6,993,501</w:t>
            </w:r>
          </w:p>
        </w:tc>
        <w:tc>
          <w:tcPr>
            <w:tcW w:w="0" w:type="auto"/>
            <w:tcBorders>
              <w:top w:val="nil"/>
              <w:left w:val="nil"/>
              <w:bottom w:val="nil"/>
              <w:right w:val="nil"/>
            </w:tcBorders>
            <w:shd w:val="clear" w:color="auto" w:fill="auto"/>
            <w:noWrap/>
            <w:vAlign w:val="center"/>
            <w:hideMark/>
          </w:tcPr>
          <w:p w14:paraId="748F3F0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7,686,425</w:t>
            </w:r>
          </w:p>
        </w:tc>
        <w:tc>
          <w:tcPr>
            <w:tcW w:w="0" w:type="auto"/>
            <w:tcBorders>
              <w:top w:val="nil"/>
              <w:left w:val="nil"/>
              <w:bottom w:val="nil"/>
              <w:right w:val="nil"/>
            </w:tcBorders>
            <w:shd w:val="clear" w:color="auto" w:fill="auto"/>
            <w:noWrap/>
            <w:vAlign w:val="center"/>
            <w:hideMark/>
          </w:tcPr>
          <w:p w14:paraId="3672F89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8,352,895</w:t>
            </w:r>
          </w:p>
        </w:tc>
        <w:tc>
          <w:tcPr>
            <w:tcW w:w="0" w:type="auto"/>
            <w:tcBorders>
              <w:top w:val="nil"/>
              <w:left w:val="nil"/>
              <w:bottom w:val="nil"/>
              <w:right w:val="nil"/>
            </w:tcBorders>
            <w:shd w:val="clear" w:color="auto" w:fill="auto"/>
            <w:noWrap/>
            <w:vAlign w:val="center"/>
            <w:hideMark/>
          </w:tcPr>
          <w:p w14:paraId="73B89B0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8,998,231</w:t>
            </w:r>
          </w:p>
        </w:tc>
        <w:tc>
          <w:tcPr>
            <w:tcW w:w="0" w:type="auto"/>
            <w:tcBorders>
              <w:top w:val="nil"/>
              <w:left w:val="nil"/>
              <w:bottom w:val="nil"/>
              <w:right w:val="nil"/>
            </w:tcBorders>
            <w:shd w:val="clear" w:color="auto" w:fill="auto"/>
            <w:noWrap/>
            <w:vAlign w:val="center"/>
            <w:hideMark/>
          </w:tcPr>
          <w:p w14:paraId="0C20C01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9,626,103</w:t>
            </w:r>
          </w:p>
        </w:tc>
        <w:tc>
          <w:tcPr>
            <w:tcW w:w="0" w:type="auto"/>
            <w:tcBorders>
              <w:top w:val="nil"/>
              <w:left w:val="nil"/>
              <w:bottom w:val="nil"/>
              <w:right w:val="nil"/>
            </w:tcBorders>
            <w:shd w:val="clear" w:color="auto" w:fill="auto"/>
            <w:noWrap/>
            <w:vAlign w:val="center"/>
            <w:hideMark/>
          </w:tcPr>
          <w:p w14:paraId="5F75730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10,239,180</w:t>
            </w:r>
          </w:p>
        </w:tc>
        <w:tc>
          <w:tcPr>
            <w:tcW w:w="0" w:type="auto"/>
            <w:tcBorders>
              <w:top w:val="nil"/>
              <w:left w:val="nil"/>
              <w:bottom w:val="nil"/>
              <w:right w:val="nil"/>
            </w:tcBorders>
            <w:shd w:val="clear" w:color="auto" w:fill="auto"/>
            <w:noWrap/>
            <w:vAlign w:val="center"/>
            <w:hideMark/>
          </w:tcPr>
          <w:p w14:paraId="37CB342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10,839,488</w:t>
            </w:r>
          </w:p>
        </w:tc>
        <w:tc>
          <w:tcPr>
            <w:tcW w:w="0" w:type="auto"/>
            <w:tcBorders>
              <w:top w:val="nil"/>
              <w:left w:val="nil"/>
              <w:bottom w:val="nil"/>
              <w:right w:val="nil"/>
            </w:tcBorders>
            <w:shd w:val="clear" w:color="auto" w:fill="auto"/>
            <w:noWrap/>
            <w:vAlign w:val="center"/>
            <w:hideMark/>
          </w:tcPr>
          <w:p w14:paraId="099D919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11,428,607</w:t>
            </w:r>
          </w:p>
        </w:tc>
      </w:tr>
      <w:tr w:rsidR="006E6FF6" w:rsidRPr="004D60D8" w14:paraId="41E6C90C" w14:textId="77777777" w:rsidTr="00CF0BB2">
        <w:trPr>
          <w:trHeight w:val="290"/>
        </w:trPr>
        <w:tc>
          <w:tcPr>
            <w:tcW w:w="0" w:type="auto"/>
            <w:tcBorders>
              <w:top w:val="nil"/>
              <w:left w:val="nil"/>
              <w:bottom w:val="nil"/>
              <w:right w:val="nil"/>
            </w:tcBorders>
            <w:shd w:val="clear" w:color="auto" w:fill="auto"/>
            <w:noWrap/>
            <w:vAlign w:val="center"/>
            <w:hideMark/>
          </w:tcPr>
          <w:p w14:paraId="71A4CB4A"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Hydrogenation Capacity</w:t>
            </w:r>
          </w:p>
        </w:tc>
        <w:tc>
          <w:tcPr>
            <w:tcW w:w="0" w:type="auto"/>
            <w:tcBorders>
              <w:top w:val="nil"/>
              <w:left w:val="nil"/>
              <w:bottom w:val="nil"/>
              <w:right w:val="nil"/>
            </w:tcBorders>
            <w:shd w:val="clear" w:color="auto" w:fill="auto"/>
            <w:noWrap/>
            <w:vAlign w:val="center"/>
            <w:hideMark/>
          </w:tcPr>
          <w:p w14:paraId="5A17C29A"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1,514,452</w:t>
            </w:r>
          </w:p>
        </w:tc>
        <w:tc>
          <w:tcPr>
            <w:tcW w:w="0" w:type="auto"/>
            <w:tcBorders>
              <w:top w:val="nil"/>
              <w:left w:val="nil"/>
              <w:bottom w:val="nil"/>
              <w:right w:val="nil"/>
            </w:tcBorders>
            <w:shd w:val="clear" w:color="auto" w:fill="auto"/>
            <w:noWrap/>
            <w:vAlign w:val="center"/>
            <w:hideMark/>
          </w:tcPr>
          <w:p w14:paraId="5C917D5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1,646,583</w:t>
            </w:r>
          </w:p>
        </w:tc>
        <w:tc>
          <w:tcPr>
            <w:tcW w:w="0" w:type="auto"/>
            <w:tcBorders>
              <w:top w:val="nil"/>
              <w:left w:val="nil"/>
              <w:bottom w:val="nil"/>
              <w:right w:val="nil"/>
            </w:tcBorders>
            <w:shd w:val="clear" w:color="auto" w:fill="auto"/>
            <w:noWrap/>
            <w:vAlign w:val="center"/>
            <w:hideMark/>
          </w:tcPr>
          <w:p w14:paraId="54833672"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1,771,400</w:t>
            </w:r>
          </w:p>
        </w:tc>
        <w:tc>
          <w:tcPr>
            <w:tcW w:w="0" w:type="auto"/>
            <w:tcBorders>
              <w:top w:val="nil"/>
              <w:left w:val="nil"/>
              <w:bottom w:val="nil"/>
              <w:right w:val="nil"/>
            </w:tcBorders>
            <w:shd w:val="clear" w:color="auto" w:fill="auto"/>
            <w:noWrap/>
            <w:vAlign w:val="center"/>
            <w:hideMark/>
          </w:tcPr>
          <w:p w14:paraId="48CC8F3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1,891,165</w:t>
            </w:r>
          </w:p>
        </w:tc>
        <w:tc>
          <w:tcPr>
            <w:tcW w:w="0" w:type="auto"/>
            <w:tcBorders>
              <w:top w:val="nil"/>
              <w:left w:val="nil"/>
              <w:bottom w:val="nil"/>
              <w:right w:val="nil"/>
            </w:tcBorders>
            <w:shd w:val="clear" w:color="auto" w:fill="auto"/>
            <w:noWrap/>
            <w:vAlign w:val="center"/>
            <w:hideMark/>
          </w:tcPr>
          <w:p w14:paraId="6A9E84E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2,007,158</w:t>
            </w:r>
          </w:p>
        </w:tc>
        <w:tc>
          <w:tcPr>
            <w:tcW w:w="0" w:type="auto"/>
            <w:tcBorders>
              <w:top w:val="nil"/>
              <w:left w:val="nil"/>
              <w:bottom w:val="nil"/>
              <w:right w:val="nil"/>
            </w:tcBorders>
            <w:shd w:val="clear" w:color="auto" w:fill="auto"/>
            <w:noWrap/>
            <w:vAlign w:val="center"/>
            <w:hideMark/>
          </w:tcPr>
          <w:p w14:paraId="5E5E331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2,120,185</w:t>
            </w:r>
          </w:p>
        </w:tc>
        <w:tc>
          <w:tcPr>
            <w:tcW w:w="0" w:type="auto"/>
            <w:tcBorders>
              <w:top w:val="nil"/>
              <w:left w:val="nil"/>
              <w:bottom w:val="nil"/>
              <w:right w:val="nil"/>
            </w:tcBorders>
            <w:shd w:val="clear" w:color="auto" w:fill="auto"/>
            <w:noWrap/>
            <w:vAlign w:val="center"/>
            <w:hideMark/>
          </w:tcPr>
          <w:p w14:paraId="5ED9EB2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2,230,794</w:t>
            </w:r>
          </w:p>
        </w:tc>
        <w:tc>
          <w:tcPr>
            <w:tcW w:w="0" w:type="auto"/>
            <w:tcBorders>
              <w:top w:val="nil"/>
              <w:left w:val="nil"/>
              <w:bottom w:val="nil"/>
              <w:right w:val="nil"/>
            </w:tcBorders>
            <w:shd w:val="clear" w:color="auto" w:fill="auto"/>
            <w:noWrap/>
            <w:vAlign w:val="center"/>
            <w:hideMark/>
          </w:tcPr>
          <w:p w14:paraId="691EA75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2,339,381</w:t>
            </w:r>
          </w:p>
        </w:tc>
        <w:tc>
          <w:tcPr>
            <w:tcW w:w="0" w:type="auto"/>
            <w:tcBorders>
              <w:top w:val="nil"/>
              <w:left w:val="nil"/>
              <w:bottom w:val="nil"/>
              <w:right w:val="nil"/>
            </w:tcBorders>
            <w:shd w:val="clear" w:color="auto" w:fill="auto"/>
            <w:noWrap/>
            <w:vAlign w:val="center"/>
            <w:hideMark/>
          </w:tcPr>
          <w:p w14:paraId="580741B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2,446,241</w:t>
            </w:r>
          </w:p>
        </w:tc>
        <w:tc>
          <w:tcPr>
            <w:tcW w:w="0" w:type="auto"/>
            <w:tcBorders>
              <w:top w:val="nil"/>
              <w:left w:val="nil"/>
              <w:bottom w:val="nil"/>
              <w:right w:val="nil"/>
            </w:tcBorders>
            <w:shd w:val="clear" w:color="auto" w:fill="auto"/>
            <w:noWrap/>
            <w:vAlign w:val="center"/>
            <w:hideMark/>
          </w:tcPr>
          <w:p w14:paraId="2972279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2,551,602</w:t>
            </w:r>
          </w:p>
        </w:tc>
        <w:tc>
          <w:tcPr>
            <w:tcW w:w="0" w:type="auto"/>
            <w:tcBorders>
              <w:top w:val="nil"/>
              <w:left w:val="nil"/>
              <w:bottom w:val="nil"/>
              <w:right w:val="nil"/>
            </w:tcBorders>
            <w:shd w:val="clear" w:color="auto" w:fill="auto"/>
            <w:noWrap/>
            <w:vAlign w:val="center"/>
            <w:hideMark/>
          </w:tcPr>
          <w:p w14:paraId="1B6662B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2,655,645</w:t>
            </w:r>
          </w:p>
        </w:tc>
      </w:tr>
      <w:tr w:rsidR="006E6FF6" w:rsidRPr="004D60D8" w14:paraId="6D2D9930" w14:textId="77777777" w:rsidTr="00CF0BB2">
        <w:trPr>
          <w:trHeight w:val="290"/>
        </w:trPr>
        <w:tc>
          <w:tcPr>
            <w:tcW w:w="0" w:type="auto"/>
            <w:tcBorders>
              <w:top w:val="nil"/>
              <w:left w:val="nil"/>
              <w:bottom w:val="nil"/>
              <w:right w:val="nil"/>
            </w:tcBorders>
            <w:shd w:val="clear" w:color="auto" w:fill="auto"/>
            <w:noWrap/>
            <w:vAlign w:val="center"/>
            <w:hideMark/>
          </w:tcPr>
          <w:p w14:paraId="4DBBA9C6"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Dehydrogenation Capacity</w:t>
            </w:r>
          </w:p>
        </w:tc>
        <w:tc>
          <w:tcPr>
            <w:tcW w:w="0" w:type="auto"/>
            <w:tcBorders>
              <w:top w:val="nil"/>
              <w:left w:val="nil"/>
              <w:bottom w:val="nil"/>
              <w:right w:val="nil"/>
            </w:tcBorders>
            <w:shd w:val="clear" w:color="auto" w:fill="auto"/>
            <w:noWrap/>
            <w:vAlign w:val="center"/>
            <w:hideMark/>
          </w:tcPr>
          <w:p w14:paraId="336CF7A8"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2,891,946</w:t>
            </w:r>
          </w:p>
        </w:tc>
        <w:tc>
          <w:tcPr>
            <w:tcW w:w="0" w:type="auto"/>
            <w:tcBorders>
              <w:top w:val="nil"/>
              <w:left w:val="nil"/>
              <w:bottom w:val="nil"/>
              <w:right w:val="nil"/>
            </w:tcBorders>
            <w:shd w:val="clear" w:color="auto" w:fill="auto"/>
            <w:noWrap/>
            <w:vAlign w:val="center"/>
            <w:hideMark/>
          </w:tcPr>
          <w:p w14:paraId="7665C2F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3,419,623</w:t>
            </w:r>
          </w:p>
        </w:tc>
        <w:tc>
          <w:tcPr>
            <w:tcW w:w="0" w:type="auto"/>
            <w:tcBorders>
              <w:top w:val="nil"/>
              <w:left w:val="nil"/>
              <w:bottom w:val="nil"/>
              <w:right w:val="nil"/>
            </w:tcBorders>
            <w:shd w:val="clear" w:color="auto" w:fill="auto"/>
            <w:noWrap/>
            <w:vAlign w:val="center"/>
            <w:hideMark/>
          </w:tcPr>
          <w:p w14:paraId="38F677B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3,915,000</w:t>
            </w:r>
          </w:p>
        </w:tc>
        <w:tc>
          <w:tcPr>
            <w:tcW w:w="0" w:type="auto"/>
            <w:tcBorders>
              <w:top w:val="nil"/>
              <w:left w:val="nil"/>
              <w:bottom w:val="nil"/>
              <w:right w:val="nil"/>
            </w:tcBorders>
            <w:shd w:val="clear" w:color="auto" w:fill="auto"/>
            <w:noWrap/>
            <w:vAlign w:val="center"/>
            <w:hideMark/>
          </w:tcPr>
          <w:p w14:paraId="625C9C6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4,387,547</w:t>
            </w:r>
          </w:p>
        </w:tc>
        <w:tc>
          <w:tcPr>
            <w:tcW w:w="0" w:type="auto"/>
            <w:tcBorders>
              <w:top w:val="nil"/>
              <w:left w:val="nil"/>
              <w:bottom w:val="nil"/>
              <w:right w:val="nil"/>
            </w:tcBorders>
            <w:shd w:val="clear" w:color="auto" w:fill="auto"/>
            <w:noWrap/>
            <w:vAlign w:val="center"/>
            <w:hideMark/>
          </w:tcPr>
          <w:p w14:paraId="15E8CFD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4,842,731</w:t>
            </w:r>
          </w:p>
        </w:tc>
        <w:tc>
          <w:tcPr>
            <w:tcW w:w="0" w:type="auto"/>
            <w:tcBorders>
              <w:top w:val="nil"/>
              <w:left w:val="nil"/>
              <w:bottom w:val="nil"/>
              <w:right w:val="nil"/>
            </w:tcBorders>
            <w:shd w:val="clear" w:color="auto" w:fill="auto"/>
            <w:noWrap/>
            <w:vAlign w:val="center"/>
            <w:hideMark/>
          </w:tcPr>
          <w:p w14:paraId="1F7B572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5,284,074</w:t>
            </w:r>
          </w:p>
        </w:tc>
        <w:tc>
          <w:tcPr>
            <w:tcW w:w="0" w:type="auto"/>
            <w:tcBorders>
              <w:top w:val="nil"/>
              <w:left w:val="nil"/>
              <w:bottom w:val="nil"/>
              <w:right w:val="nil"/>
            </w:tcBorders>
            <w:shd w:val="clear" w:color="auto" w:fill="auto"/>
            <w:noWrap/>
            <w:vAlign w:val="center"/>
            <w:hideMark/>
          </w:tcPr>
          <w:p w14:paraId="59CC704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5,714,006</w:t>
            </w:r>
          </w:p>
        </w:tc>
        <w:tc>
          <w:tcPr>
            <w:tcW w:w="0" w:type="auto"/>
            <w:tcBorders>
              <w:top w:val="nil"/>
              <w:left w:val="nil"/>
              <w:bottom w:val="nil"/>
              <w:right w:val="nil"/>
            </w:tcBorders>
            <w:shd w:val="clear" w:color="auto" w:fill="auto"/>
            <w:noWrap/>
            <w:vAlign w:val="center"/>
            <w:hideMark/>
          </w:tcPr>
          <w:p w14:paraId="12FB40B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6,134,298</w:t>
            </w:r>
          </w:p>
        </w:tc>
        <w:tc>
          <w:tcPr>
            <w:tcW w:w="0" w:type="auto"/>
            <w:tcBorders>
              <w:top w:val="nil"/>
              <w:left w:val="nil"/>
              <w:bottom w:val="nil"/>
              <w:right w:val="nil"/>
            </w:tcBorders>
            <w:shd w:val="clear" w:color="auto" w:fill="auto"/>
            <w:noWrap/>
            <w:vAlign w:val="center"/>
            <w:hideMark/>
          </w:tcPr>
          <w:p w14:paraId="4BEE4A7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6,546,288</w:t>
            </w:r>
          </w:p>
        </w:tc>
        <w:tc>
          <w:tcPr>
            <w:tcW w:w="0" w:type="auto"/>
            <w:tcBorders>
              <w:top w:val="nil"/>
              <w:left w:val="nil"/>
              <w:bottom w:val="nil"/>
              <w:right w:val="nil"/>
            </w:tcBorders>
            <w:shd w:val="clear" w:color="auto" w:fill="auto"/>
            <w:noWrap/>
            <w:vAlign w:val="center"/>
            <w:hideMark/>
          </w:tcPr>
          <w:p w14:paraId="0FAB10C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6,951,020</w:t>
            </w:r>
          </w:p>
        </w:tc>
        <w:tc>
          <w:tcPr>
            <w:tcW w:w="0" w:type="auto"/>
            <w:tcBorders>
              <w:top w:val="nil"/>
              <w:left w:val="nil"/>
              <w:bottom w:val="nil"/>
              <w:right w:val="nil"/>
            </w:tcBorders>
            <w:shd w:val="clear" w:color="auto" w:fill="auto"/>
            <w:noWrap/>
            <w:vAlign w:val="center"/>
            <w:hideMark/>
          </w:tcPr>
          <w:p w14:paraId="30B00E9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7,349,325</w:t>
            </w:r>
          </w:p>
        </w:tc>
      </w:tr>
      <w:tr w:rsidR="006E6FF6" w:rsidRPr="004D60D8" w14:paraId="544289BC" w14:textId="77777777" w:rsidTr="007C6F31">
        <w:trPr>
          <w:trHeight w:val="216"/>
        </w:trPr>
        <w:tc>
          <w:tcPr>
            <w:tcW w:w="0" w:type="auto"/>
            <w:tcBorders>
              <w:top w:val="nil"/>
              <w:left w:val="nil"/>
              <w:bottom w:val="nil"/>
              <w:right w:val="nil"/>
            </w:tcBorders>
            <w:shd w:val="clear" w:color="auto" w:fill="auto"/>
            <w:noWrap/>
            <w:vAlign w:val="center"/>
            <w:hideMark/>
          </w:tcPr>
          <w:p w14:paraId="095AC5D2"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Annual Storage</w:t>
            </w:r>
          </w:p>
        </w:tc>
        <w:tc>
          <w:tcPr>
            <w:tcW w:w="0" w:type="auto"/>
            <w:tcBorders>
              <w:top w:val="nil"/>
              <w:left w:val="nil"/>
              <w:bottom w:val="nil"/>
              <w:right w:val="nil"/>
            </w:tcBorders>
            <w:shd w:val="clear" w:color="auto" w:fill="auto"/>
            <w:noWrap/>
            <w:vAlign w:val="center"/>
            <w:hideMark/>
          </w:tcPr>
          <w:p w14:paraId="7A63B4A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5E170AD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3507CAB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06F8F54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17E63EA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76FE0CF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0B445572"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578EB7A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192949B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5FFD60C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c>
          <w:tcPr>
            <w:tcW w:w="0" w:type="auto"/>
            <w:tcBorders>
              <w:top w:val="nil"/>
              <w:left w:val="nil"/>
              <w:bottom w:val="nil"/>
              <w:right w:val="nil"/>
            </w:tcBorders>
            <w:shd w:val="clear" w:color="auto" w:fill="auto"/>
            <w:noWrap/>
            <w:vAlign w:val="center"/>
            <w:hideMark/>
          </w:tcPr>
          <w:p w14:paraId="1676525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0</w:t>
            </w:r>
          </w:p>
        </w:tc>
      </w:tr>
      <w:tr w:rsidR="006E6FF6" w:rsidRPr="004D60D8" w14:paraId="2AFC7C80" w14:textId="77777777" w:rsidTr="00CF0BB2">
        <w:trPr>
          <w:trHeight w:val="290"/>
        </w:trPr>
        <w:tc>
          <w:tcPr>
            <w:tcW w:w="0" w:type="auto"/>
            <w:tcBorders>
              <w:top w:val="nil"/>
              <w:left w:val="nil"/>
              <w:bottom w:val="dotDash" w:sz="4" w:space="0" w:color="auto"/>
              <w:right w:val="nil"/>
            </w:tcBorders>
            <w:shd w:val="clear" w:color="auto" w:fill="auto"/>
            <w:noWrap/>
            <w:vAlign w:val="center"/>
            <w:hideMark/>
          </w:tcPr>
          <w:p w14:paraId="17AAC3DF"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Maximum Storage</w:t>
            </w:r>
          </w:p>
        </w:tc>
        <w:tc>
          <w:tcPr>
            <w:tcW w:w="0" w:type="auto"/>
            <w:tcBorders>
              <w:top w:val="nil"/>
              <w:left w:val="nil"/>
              <w:bottom w:val="dotDash" w:sz="4" w:space="0" w:color="auto"/>
              <w:right w:val="nil"/>
            </w:tcBorders>
            <w:shd w:val="clear" w:color="auto" w:fill="auto"/>
            <w:noWrap/>
            <w:vAlign w:val="center"/>
            <w:hideMark/>
          </w:tcPr>
          <w:p w14:paraId="0D28FBE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215,651</w:t>
            </w:r>
          </w:p>
        </w:tc>
        <w:tc>
          <w:tcPr>
            <w:tcW w:w="0" w:type="auto"/>
            <w:tcBorders>
              <w:top w:val="nil"/>
              <w:left w:val="nil"/>
              <w:bottom w:val="dotDash" w:sz="4" w:space="0" w:color="auto"/>
              <w:right w:val="nil"/>
            </w:tcBorders>
            <w:shd w:val="clear" w:color="auto" w:fill="auto"/>
            <w:noWrap/>
            <w:vAlign w:val="center"/>
            <w:hideMark/>
          </w:tcPr>
          <w:p w14:paraId="7855C2F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421,756</w:t>
            </w:r>
          </w:p>
        </w:tc>
        <w:tc>
          <w:tcPr>
            <w:tcW w:w="0" w:type="auto"/>
            <w:tcBorders>
              <w:top w:val="nil"/>
              <w:left w:val="nil"/>
              <w:bottom w:val="dotDash" w:sz="4" w:space="0" w:color="auto"/>
              <w:right w:val="nil"/>
            </w:tcBorders>
            <w:shd w:val="clear" w:color="auto" w:fill="auto"/>
            <w:noWrap/>
            <w:vAlign w:val="center"/>
            <w:hideMark/>
          </w:tcPr>
          <w:p w14:paraId="0D25279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579,339</w:t>
            </w:r>
          </w:p>
        </w:tc>
        <w:tc>
          <w:tcPr>
            <w:tcW w:w="0" w:type="auto"/>
            <w:tcBorders>
              <w:top w:val="nil"/>
              <w:left w:val="nil"/>
              <w:bottom w:val="dotDash" w:sz="4" w:space="0" w:color="auto"/>
              <w:right w:val="nil"/>
            </w:tcBorders>
            <w:shd w:val="clear" w:color="auto" w:fill="auto"/>
            <w:noWrap/>
            <w:vAlign w:val="center"/>
            <w:hideMark/>
          </w:tcPr>
          <w:p w14:paraId="656DA08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714,789</w:t>
            </w:r>
          </w:p>
        </w:tc>
        <w:tc>
          <w:tcPr>
            <w:tcW w:w="0" w:type="auto"/>
            <w:tcBorders>
              <w:top w:val="nil"/>
              <w:left w:val="nil"/>
              <w:bottom w:val="dotDash" w:sz="4" w:space="0" w:color="auto"/>
              <w:right w:val="nil"/>
            </w:tcBorders>
            <w:shd w:val="clear" w:color="auto" w:fill="auto"/>
            <w:noWrap/>
            <w:vAlign w:val="center"/>
            <w:hideMark/>
          </w:tcPr>
          <w:p w14:paraId="39B53E5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836,536</w:t>
            </w:r>
          </w:p>
        </w:tc>
        <w:tc>
          <w:tcPr>
            <w:tcW w:w="0" w:type="auto"/>
            <w:tcBorders>
              <w:top w:val="nil"/>
              <w:left w:val="nil"/>
              <w:bottom w:val="dotDash" w:sz="4" w:space="0" w:color="auto"/>
              <w:right w:val="nil"/>
            </w:tcBorders>
            <w:shd w:val="clear" w:color="auto" w:fill="auto"/>
            <w:noWrap/>
            <w:vAlign w:val="center"/>
            <w:hideMark/>
          </w:tcPr>
          <w:p w14:paraId="7925E992"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948,636</w:t>
            </w:r>
          </w:p>
        </w:tc>
        <w:tc>
          <w:tcPr>
            <w:tcW w:w="0" w:type="auto"/>
            <w:tcBorders>
              <w:top w:val="nil"/>
              <w:left w:val="nil"/>
              <w:bottom w:val="dotDash" w:sz="4" w:space="0" w:color="auto"/>
              <w:right w:val="nil"/>
            </w:tcBorders>
            <w:shd w:val="clear" w:color="auto" w:fill="auto"/>
            <w:noWrap/>
            <w:vAlign w:val="center"/>
            <w:hideMark/>
          </w:tcPr>
          <w:p w14:paraId="3E7E6EF0"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1,053,431</w:t>
            </w:r>
          </w:p>
        </w:tc>
        <w:tc>
          <w:tcPr>
            <w:tcW w:w="0" w:type="auto"/>
            <w:tcBorders>
              <w:top w:val="nil"/>
              <w:left w:val="nil"/>
              <w:bottom w:val="dotDash" w:sz="4" w:space="0" w:color="auto"/>
              <w:right w:val="nil"/>
            </w:tcBorders>
            <w:shd w:val="clear" w:color="auto" w:fill="auto"/>
            <w:noWrap/>
            <w:vAlign w:val="center"/>
            <w:hideMark/>
          </w:tcPr>
          <w:p w14:paraId="1372D26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1,152,424</w:t>
            </w:r>
          </w:p>
        </w:tc>
        <w:tc>
          <w:tcPr>
            <w:tcW w:w="0" w:type="auto"/>
            <w:tcBorders>
              <w:top w:val="nil"/>
              <w:left w:val="nil"/>
              <w:bottom w:val="dotDash" w:sz="4" w:space="0" w:color="auto"/>
              <w:right w:val="nil"/>
            </w:tcBorders>
            <w:shd w:val="clear" w:color="auto" w:fill="auto"/>
            <w:noWrap/>
            <w:vAlign w:val="center"/>
            <w:hideMark/>
          </w:tcPr>
          <w:p w14:paraId="36FF158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1,246,651</w:t>
            </w:r>
          </w:p>
        </w:tc>
        <w:tc>
          <w:tcPr>
            <w:tcW w:w="0" w:type="auto"/>
            <w:tcBorders>
              <w:top w:val="nil"/>
              <w:left w:val="nil"/>
              <w:bottom w:val="dotDash" w:sz="4" w:space="0" w:color="auto"/>
              <w:right w:val="nil"/>
            </w:tcBorders>
            <w:shd w:val="clear" w:color="auto" w:fill="auto"/>
            <w:noWrap/>
            <w:vAlign w:val="center"/>
            <w:hideMark/>
          </w:tcPr>
          <w:p w14:paraId="72EADBB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1,336,866</w:t>
            </w:r>
          </w:p>
        </w:tc>
        <w:tc>
          <w:tcPr>
            <w:tcW w:w="0" w:type="auto"/>
            <w:tcBorders>
              <w:top w:val="nil"/>
              <w:left w:val="nil"/>
              <w:bottom w:val="dotDash" w:sz="4" w:space="0" w:color="auto"/>
              <w:right w:val="nil"/>
            </w:tcBorders>
            <w:shd w:val="clear" w:color="auto" w:fill="auto"/>
            <w:noWrap/>
            <w:vAlign w:val="center"/>
            <w:hideMark/>
          </w:tcPr>
          <w:p w14:paraId="36FD358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1,423,638</w:t>
            </w:r>
          </w:p>
        </w:tc>
      </w:tr>
      <w:tr w:rsidR="006E6FF6" w:rsidRPr="004D60D8" w14:paraId="3F9292B6" w14:textId="77777777" w:rsidTr="00CF0BB2">
        <w:trPr>
          <w:trHeight w:val="290"/>
        </w:trPr>
        <w:tc>
          <w:tcPr>
            <w:tcW w:w="0" w:type="auto"/>
            <w:tcBorders>
              <w:top w:val="nil"/>
              <w:left w:val="nil"/>
              <w:bottom w:val="nil"/>
              <w:right w:val="nil"/>
            </w:tcBorders>
            <w:shd w:val="clear" w:color="auto" w:fill="auto"/>
            <w:noWrap/>
            <w:vAlign w:val="center"/>
            <w:hideMark/>
          </w:tcPr>
          <w:p w14:paraId="33411444" w14:textId="75794C28"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Variable Operating Cost, $</w:t>
            </w:r>
          </w:p>
        </w:tc>
        <w:tc>
          <w:tcPr>
            <w:tcW w:w="0" w:type="auto"/>
            <w:tcBorders>
              <w:top w:val="nil"/>
              <w:left w:val="nil"/>
              <w:bottom w:val="nil"/>
              <w:right w:val="nil"/>
            </w:tcBorders>
            <w:shd w:val="clear" w:color="auto" w:fill="auto"/>
            <w:noWrap/>
            <w:vAlign w:val="center"/>
            <w:hideMark/>
          </w:tcPr>
          <w:p w14:paraId="62B33F6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6,941,258</w:t>
            </w:r>
          </w:p>
        </w:tc>
        <w:tc>
          <w:tcPr>
            <w:tcW w:w="0" w:type="auto"/>
            <w:tcBorders>
              <w:top w:val="nil"/>
              <w:left w:val="nil"/>
              <w:bottom w:val="nil"/>
              <w:right w:val="nil"/>
            </w:tcBorders>
            <w:shd w:val="clear" w:color="auto" w:fill="auto"/>
            <w:noWrap/>
            <w:vAlign w:val="center"/>
            <w:hideMark/>
          </w:tcPr>
          <w:p w14:paraId="1194564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8,329,396</w:t>
            </w:r>
          </w:p>
        </w:tc>
        <w:tc>
          <w:tcPr>
            <w:tcW w:w="0" w:type="auto"/>
            <w:tcBorders>
              <w:top w:val="nil"/>
              <w:left w:val="nil"/>
              <w:bottom w:val="nil"/>
              <w:right w:val="nil"/>
            </w:tcBorders>
            <w:shd w:val="clear" w:color="auto" w:fill="auto"/>
            <w:noWrap/>
            <w:vAlign w:val="center"/>
            <w:hideMark/>
          </w:tcPr>
          <w:p w14:paraId="02BF491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9,668,922</w:t>
            </w:r>
          </w:p>
        </w:tc>
        <w:tc>
          <w:tcPr>
            <w:tcW w:w="0" w:type="auto"/>
            <w:tcBorders>
              <w:top w:val="nil"/>
              <w:left w:val="nil"/>
              <w:bottom w:val="nil"/>
              <w:right w:val="nil"/>
            </w:tcBorders>
            <w:shd w:val="clear" w:color="auto" w:fill="auto"/>
            <w:noWrap/>
            <w:vAlign w:val="center"/>
            <w:hideMark/>
          </w:tcPr>
          <w:p w14:paraId="7F64135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10,981,306</w:t>
            </w:r>
          </w:p>
        </w:tc>
        <w:tc>
          <w:tcPr>
            <w:tcW w:w="0" w:type="auto"/>
            <w:tcBorders>
              <w:top w:val="nil"/>
              <w:left w:val="nil"/>
              <w:bottom w:val="nil"/>
              <w:right w:val="nil"/>
            </w:tcBorders>
            <w:shd w:val="clear" w:color="auto" w:fill="auto"/>
            <w:noWrap/>
            <w:vAlign w:val="center"/>
            <w:hideMark/>
          </w:tcPr>
          <w:p w14:paraId="3D476AA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12,274,926</w:t>
            </w:r>
          </w:p>
        </w:tc>
        <w:tc>
          <w:tcPr>
            <w:tcW w:w="0" w:type="auto"/>
            <w:tcBorders>
              <w:top w:val="nil"/>
              <w:left w:val="nil"/>
              <w:bottom w:val="nil"/>
              <w:right w:val="nil"/>
            </w:tcBorders>
            <w:shd w:val="clear" w:color="auto" w:fill="auto"/>
            <w:noWrap/>
            <w:vAlign w:val="center"/>
            <w:hideMark/>
          </w:tcPr>
          <w:p w14:paraId="77D30B9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13,554,358</w:t>
            </w:r>
          </w:p>
        </w:tc>
        <w:tc>
          <w:tcPr>
            <w:tcW w:w="0" w:type="auto"/>
            <w:tcBorders>
              <w:top w:val="nil"/>
              <w:left w:val="nil"/>
              <w:bottom w:val="nil"/>
              <w:right w:val="nil"/>
            </w:tcBorders>
            <w:shd w:val="clear" w:color="auto" w:fill="auto"/>
            <w:noWrap/>
            <w:vAlign w:val="center"/>
            <w:hideMark/>
          </w:tcPr>
          <w:p w14:paraId="76707CE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14,822,490</w:t>
            </w:r>
          </w:p>
        </w:tc>
        <w:tc>
          <w:tcPr>
            <w:tcW w:w="0" w:type="auto"/>
            <w:tcBorders>
              <w:top w:val="nil"/>
              <w:left w:val="nil"/>
              <w:bottom w:val="nil"/>
              <w:right w:val="nil"/>
            </w:tcBorders>
            <w:shd w:val="clear" w:color="auto" w:fill="auto"/>
            <w:noWrap/>
            <w:vAlign w:val="center"/>
            <w:hideMark/>
          </w:tcPr>
          <w:p w14:paraId="54750DED"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16,081,301</w:t>
            </w:r>
          </w:p>
        </w:tc>
        <w:tc>
          <w:tcPr>
            <w:tcW w:w="0" w:type="auto"/>
            <w:tcBorders>
              <w:top w:val="nil"/>
              <w:left w:val="nil"/>
              <w:bottom w:val="nil"/>
              <w:right w:val="nil"/>
            </w:tcBorders>
            <w:shd w:val="clear" w:color="auto" w:fill="auto"/>
            <w:noWrap/>
            <w:vAlign w:val="center"/>
            <w:hideMark/>
          </w:tcPr>
          <w:p w14:paraId="29A40CC0"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17,332,229</w:t>
            </w:r>
          </w:p>
        </w:tc>
        <w:tc>
          <w:tcPr>
            <w:tcW w:w="0" w:type="auto"/>
            <w:tcBorders>
              <w:top w:val="nil"/>
              <w:left w:val="nil"/>
              <w:bottom w:val="nil"/>
              <w:right w:val="nil"/>
            </w:tcBorders>
            <w:shd w:val="clear" w:color="auto" w:fill="auto"/>
            <w:noWrap/>
            <w:vAlign w:val="center"/>
            <w:hideMark/>
          </w:tcPr>
          <w:p w14:paraId="1589D873"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18,576,360</w:t>
            </w:r>
          </w:p>
        </w:tc>
        <w:tc>
          <w:tcPr>
            <w:tcW w:w="0" w:type="auto"/>
            <w:tcBorders>
              <w:top w:val="nil"/>
              <w:left w:val="nil"/>
              <w:bottom w:val="nil"/>
              <w:right w:val="nil"/>
            </w:tcBorders>
            <w:shd w:val="clear" w:color="auto" w:fill="auto"/>
            <w:noWrap/>
            <w:vAlign w:val="center"/>
            <w:hideMark/>
          </w:tcPr>
          <w:p w14:paraId="64417E2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19,814,542</w:t>
            </w:r>
          </w:p>
        </w:tc>
      </w:tr>
      <w:tr w:rsidR="006E6FF6" w:rsidRPr="004D60D8" w14:paraId="08C60176" w14:textId="77777777" w:rsidTr="00CF0BB2">
        <w:trPr>
          <w:trHeight w:val="290"/>
        </w:trPr>
        <w:tc>
          <w:tcPr>
            <w:tcW w:w="0" w:type="auto"/>
            <w:tcBorders>
              <w:top w:val="nil"/>
              <w:left w:val="nil"/>
              <w:bottom w:val="nil"/>
              <w:right w:val="nil"/>
            </w:tcBorders>
            <w:shd w:val="clear" w:color="auto" w:fill="auto"/>
            <w:noWrap/>
            <w:vAlign w:val="center"/>
            <w:hideMark/>
          </w:tcPr>
          <w:p w14:paraId="75132E73"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Hydrogenation Capacity</w:t>
            </w:r>
          </w:p>
        </w:tc>
        <w:tc>
          <w:tcPr>
            <w:tcW w:w="0" w:type="auto"/>
            <w:tcBorders>
              <w:top w:val="nil"/>
              <w:left w:val="nil"/>
              <w:bottom w:val="nil"/>
              <w:right w:val="nil"/>
            </w:tcBorders>
            <w:shd w:val="clear" w:color="auto" w:fill="auto"/>
            <w:noWrap/>
            <w:vAlign w:val="center"/>
            <w:hideMark/>
          </w:tcPr>
          <w:p w14:paraId="7BE9E5EA"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234,637</w:t>
            </w:r>
          </w:p>
        </w:tc>
        <w:tc>
          <w:tcPr>
            <w:tcW w:w="0" w:type="auto"/>
            <w:tcBorders>
              <w:top w:val="nil"/>
              <w:left w:val="nil"/>
              <w:bottom w:val="nil"/>
              <w:right w:val="nil"/>
            </w:tcBorders>
            <w:shd w:val="clear" w:color="auto" w:fill="auto"/>
            <w:noWrap/>
            <w:vAlign w:val="center"/>
            <w:hideMark/>
          </w:tcPr>
          <w:p w14:paraId="572630D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298,141</w:t>
            </w:r>
          </w:p>
        </w:tc>
        <w:tc>
          <w:tcPr>
            <w:tcW w:w="0" w:type="auto"/>
            <w:tcBorders>
              <w:top w:val="nil"/>
              <w:left w:val="nil"/>
              <w:bottom w:val="nil"/>
              <w:right w:val="nil"/>
            </w:tcBorders>
            <w:shd w:val="clear" w:color="auto" w:fill="auto"/>
            <w:noWrap/>
            <w:vAlign w:val="center"/>
            <w:hideMark/>
          </w:tcPr>
          <w:p w14:paraId="6F2C015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358,082</w:t>
            </w:r>
          </w:p>
        </w:tc>
        <w:tc>
          <w:tcPr>
            <w:tcW w:w="0" w:type="auto"/>
            <w:tcBorders>
              <w:top w:val="nil"/>
              <w:left w:val="nil"/>
              <w:bottom w:val="nil"/>
              <w:right w:val="nil"/>
            </w:tcBorders>
            <w:shd w:val="clear" w:color="auto" w:fill="auto"/>
            <w:noWrap/>
            <w:vAlign w:val="center"/>
            <w:hideMark/>
          </w:tcPr>
          <w:p w14:paraId="063D508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415,563</w:t>
            </w:r>
          </w:p>
        </w:tc>
        <w:tc>
          <w:tcPr>
            <w:tcW w:w="0" w:type="auto"/>
            <w:tcBorders>
              <w:top w:val="nil"/>
              <w:left w:val="nil"/>
              <w:bottom w:val="nil"/>
              <w:right w:val="nil"/>
            </w:tcBorders>
            <w:shd w:val="clear" w:color="auto" w:fill="auto"/>
            <w:noWrap/>
            <w:vAlign w:val="center"/>
            <w:hideMark/>
          </w:tcPr>
          <w:p w14:paraId="794671A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471,205</w:t>
            </w:r>
          </w:p>
        </w:tc>
        <w:tc>
          <w:tcPr>
            <w:tcW w:w="0" w:type="auto"/>
            <w:tcBorders>
              <w:top w:val="nil"/>
              <w:left w:val="nil"/>
              <w:bottom w:val="nil"/>
              <w:right w:val="nil"/>
            </w:tcBorders>
            <w:shd w:val="clear" w:color="auto" w:fill="auto"/>
            <w:noWrap/>
            <w:vAlign w:val="center"/>
            <w:hideMark/>
          </w:tcPr>
          <w:p w14:paraId="1E82F920"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525,400</w:t>
            </w:r>
          </w:p>
        </w:tc>
        <w:tc>
          <w:tcPr>
            <w:tcW w:w="0" w:type="auto"/>
            <w:tcBorders>
              <w:top w:val="nil"/>
              <w:left w:val="nil"/>
              <w:bottom w:val="nil"/>
              <w:right w:val="nil"/>
            </w:tcBorders>
            <w:shd w:val="clear" w:color="auto" w:fill="auto"/>
            <w:noWrap/>
            <w:vAlign w:val="center"/>
            <w:hideMark/>
          </w:tcPr>
          <w:p w14:paraId="219BF20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578,416</w:t>
            </w:r>
          </w:p>
        </w:tc>
        <w:tc>
          <w:tcPr>
            <w:tcW w:w="0" w:type="auto"/>
            <w:tcBorders>
              <w:top w:val="nil"/>
              <w:left w:val="nil"/>
              <w:bottom w:val="nil"/>
              <w:right w:val="nil"/>
            </w:tcBorders>
            <w:shd w:val="clear" w:color="auto" w:fill="auto"/>
            <w:noWrap/>
            <w:vAlign w:val="center"/>
            <w:hideMark/>
          </w:tcPr>
          <w:p w14:paraId="769FDEB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630,444</w:t>
            </w:r>
          </w:p>
        </w:tc>
        <w:tc>
          <w:tcPr>
            <w:tcW w:w="0" w:type="auto"/>
            <w:tcBorders>
              <w:top w:val="nil"/>
              <w:left w:val="nil"/>
              <w:bottom w:val="nil"/>
              <w:right w:val="nil"/>
            </w:tcBorders>
            <w:shd w:val="clear" w:color="auto" w:fill="auto"/>
            <w:noWrap/>
            <w:vAlign w:val="center"/>
            <w:hideMark/>
          </w:tcPr>
          <w:p w14:paraId="6E30D25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681,628</w:t>
            </w:r>
          </w:p>
        </w:tc>
        <w:tc>
          <w:tcPr>
            <w:tcW w:w="0" w:type="auto"/>
            <w:tcBorders>
              <w:top w:val="nil"/>
              <w:left w:val="nil"/>
              <w:bottom w:val="nil"/>
              <w:right w:val="nil"/>
            </w:tcBorders>
            <w:shd w:val="clear" w:color="auto" w:fill="auto"/>
            <w:noWrap/>
            <w:vAlign w:val="center"/>
            <w:hideMark/>
          </w:tcPr>
          <w:p w14:paraId="62028A8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732,081</w:t>
            </w:r>
          </w:p>
        </w:tc>
        <w:tc>
          <w:tcPr>
            <w:tcW w:w="0" w:type="auto"/>
            <w:tcBorders>
              <w:top w:val="nil"/>
              <w:left w:val="nil"/>
              <w:bottom w:val="nil"/>
              <w:right w:val="nil"/>
            </w:tcBorders>
            <w:shd w:val="clear" w:color="auto" w:fill="auto"/>
            <w:noWrap/>
            <w:vAlign w:val="center"/>
            <w:hideMark/>
          </w:tcPr>
          <w:p w14:paraId="16885F8A"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781,888</w:t>
            </w:r>
          </w:p>
        </w:tc>
      </w:tr>
      <w:tr w:rsidR="006E6FF6" w:rsidRPr="004D60D8" w14:paraId="3D3AF131" w14:textId="77777777" w:rsidTr="00CF0BB2">
        <w:trPr>
          <w:trHeight w:val="290"/>
        </w:trPr>
        <w:tc>
          <w:tcPr>
            <w:tcW w:w="0" w:type="auto"/>
            <w:tcBorders>
              <w:top w:val="nil"/>
              <w:left w:val="nil"/>
              <w:bottom w:val="nil"/>
              <w:right w:val="nil"/>
            </w:tcBorders>
            <w:shd w:val="clear" w:color="auto" w:fill="auto"/>
            <w:noWrap/>
            <w:vAlign w:val="center"/>
            <w:hideMark/>
          </w:tcPr>
          <w:p w14:paraId="2F32B48E"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Dehydrogenation Capacity</w:t>
            </w:r>
          </w:p>
        </w:tc>
        <w:tc>
          <w:tcPr>
            <w:tcW w:w="0" w:type="auto"/>
            <w:tcBorders>
              <w:top w:val="nil"/>
              <w:left w:val="nil"/>
              <w:bottom w:val="nil"/>
              <w:right w:val="nil"/>
            </w:tcBorders>
            <w:shd w:val="clear" w:color="auto" w:fill="auto"/>
            <w:noWrap/>
            <w:vAlign w:val="center"/>
            <w:hideMark/>
          </w:tcPr>
          <w:p w14:paraId="4745774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934,960</w:t>
            </w:r>
          </w:p>
        </w:tc>
        <w:tc>
          <w:tcPr>
            <w:tcW w:w="0" w:type="auto"/>
            <w:tcBorders>
              <w:top w:val="nil"/>
              <w:left w:val="nil"/>
              <w:bottom w:val="nil"/>
              <w:right w:val="nil"/>
            </w:tcBorders>
            <w:shd w:val="clear" w:color="auto" w:fill="auto"/>
            <w:noWrap/>
            <w:vAlign w:val="center"/>
            <w:hideMark/>
          </w:tcPr>
          <w:p w14:paraId="4EFD30B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1,197,481</w:t>
            </w:r>
          </w:p>
        </w:tc>
        <w:tc>
          <w:tcPr>
            <w:tcW w:w="0" w:type="auto"/>
            <w:tcBorders>
              <w:top w:val="nil"/>
              <w:left w:val="nil"/>
              <w:bottom w:val="nil"/>
              <w:right w:val="nil"/>
            </w:tcBorders>
            <w:shd w:val="clear" w:color="auto" w:fill="auto"/>
            <w:noWrap/>
            <w:vAlign w:val="center"/>
            <w:hideMark/>
          </w:tcPr>
          <w:p w14:paraId="62429B1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1,443,514</w:t>
            </w:r>
          </w:p>
        </w:tc>
        <w:tc>
          <w:tcPr>
            <w:tcW w:w="0" w:type="auto"/>
            <w:tcBorders>
              <w:top w:val="nil"/>
              <w:left w:val="nil"/>
              <w:bottom w:val="nil"/>
              <w:right w:val="nil"/>
            </w:tcBorders>
            <w:shd w:val="clear" w:color="auto" w:fill="auto"/>
            <w:noWrap/>
            <w:vAlign w:val="center"/>
            <w:hideMark/>
          </w:tcPr>
          <w:p w14:paraId="3045C868"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1,677,895</w:t>
            </w:r>
          </w:p>
        </w:tc>
        <w:tc>
          <w:tcPr>
            <w:tcW w:w="0" w:type="auto"/>
            <w:tcBorders>
              <w:top w:val="nil"/>
              <w:left w:val="nil"/>
              <w:bottom w:val="nil"/>
              <w:right w:val="nil"/>
            </w:tcBorders>
            <w:shd w:val="clear" w:color="auto" w:fill="auto"/>
            <w:noWrap/>
            <w:vAlign w:val="center"/>
            <w:hideMark/>
          </w:tcPr>
          <w:p w14:paraId="002616F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1,903,418</w:t>
            </w:r>
          </w:p>
        </w:tc>
        <w:tc>
          <w:tcPr>
            <w:tcW w:w="0" w:type="auto"/>
            <w:tcBorders>
              <w:top w:val="nil"/>
              <w:left w:val="nil"/>
              <w:bottom w:val="nil"/>
              <w:right w:val="nil"/>
            </w:tcBorders>
            <w:shd w:val="clear" w:color="auto" w:fill="auto"/>
            <w:noWrap/>
            <w:vAlign w:val="center"/>
            <w:hideMark/>
          </w:tcPr>
          <w:p w14:paraId="504B2199"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2,121,879</w:t>
            </w:r>
          </w:p>
        </w:tc>
        <w:tc>
          <w:tcPr>
            <w:tcW w:w="0" w:type="auto"/>
            <w:tcBorders>
              <w:top w:val="nil"/>
              <w:left w:val="nil"/>
              <w:bottom w:val="nil"/>
              <w:right w:val="nil"/>
            </w:tcBorders>
            <w:shd w:val="clear" w:color="auto" w:fill="auto"/>
            <w:noWrap/>
            <w:vAlign w:val="center"/>
            <w:hideMark/>
          </w:tcPr>
          <w:p w14:paraId="6D54C2B2"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2,334,519</w:t>
            </w:r>
          </w:p>
        </w:tc>
        <w:tc>
          <w:tcPr>
            <w:tcW w:w="0" w:type="auto"/>
            <w:tcBorders>
              <w:top w:val="nil"/>
              <w:left w:val="nil"/>
              <w:bottom w:val="nil"/>
              <w:right w:val="nil"/>
            </w:tcBorders>
            <w:shd w:val="clear" w:color="auto" w:fill="auto"/>
            <w:noWrap/>
            <w:vAlign w:val="center"/>
            <w:hideMark/>
          </w:tcPr>
          <w:p w14:paraId="67BE264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2,542,242</w:t>
            </w:r>
          </w:p>
        </w:tc>
        <w:tc>
          <w:tcPr>
            <w:tcW w:w="0" w:type="auto"/>
            <w:tcBorders>
              <w:top w:val="nil"/>
              <w:left w:val="nil"/>
              <w:bottom w:val="nil"/>
              <w:right w:val="nil"/>
            </w:tcBorders>
            <w:shd w:val="clear" w:color="auto" w:fill="auto"/>
            <w:noWrap/>
            <w:vAlign w:val="center"/>
            <w:hideMark/>
          </w:tcPr>
          <w:p w14:paraId="04CEE56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2,745,731</w:t>
            </w:r>
          </w:p>
        </w:tc>
        <w:tc>
          <w:tcPr>
            <w:tcW w:w="0" w:type="auto"/>
            <w:tcBorders>
              <w:top w:val="nil"/>
              <w:left w:val="nil"/>
              <w:bottom w:val="nil"/>
              <w:right w:val="nil"/>
            </w:tcBorders>
            <w:shd w:val="clear" w:color="auto" w:fill="auto"/>
            <w:noWrap/>
            <w:vAlign w:val="center"/>
            <w:hideMark/>
          </w:tcPr>
          <w:p w14:paraId="104487E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2,945,517</w:t>
            </w:r>
          </w:p>
        </w:tc>
        <w:tc>
          <w:tcPr>
            <w:tcW w:w="0" w:type="auto"/>
            <w:tcBorders>
              <w:top w:val="nil"/>
              <w:left w:val="nil"/>
              <w:bottom w:val="nil"/>
              <w:right w:val="nil"/>
            </w:tcBorders>
            <w:shd w:val="clear" w:color="auto" w:fill="auto"/>
            <w:noWrap/>
            <w:vAlign w:val="center"/>
            <w:hideMark/>
          </w:tcPr>
          <w:p w14:paraId="301F563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3,142,025</w:t>
            </w:r>
          </w:p>
        </w:tc>
      </w:tr>
      <w:tr w:rsidR="006E6FF6" w:rsidRPr="004D60D8" w14:paraId="4B219B12" w14:textId="77777777" w:rsidTr="00CF0BB2">
        <w:trPr>
          <w:trHeight w:val="290"/>
        </w:trPr>
        <w:tc>
          <w:tcPr>
            <w:tcW w:w="0" w:type="auto"/>
            <w:tcBorders>
              <w:top w:val="nil"/>
              <w:left w:val="nil"/>
              <w:bottom w:val="nil"/>
              <w:right w:val="nil"/>
            </w:tcBorders>
            <w:shd w:val="clear" w:color="auto" w:fill="auto"/>
            <w:noWrap/>
            <w:vAlign w:val="center"/>
            <w:hideMark/>
          </w:tcPr>
          <w:p w14:paraId="1943B8A6"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Annual Storage</w:t>
            </w:r>
          </w:p>
        </w:tc>
        <w:tc>
          <w:tcPr>
            <w:tcW w:w="0" w:type="auto"/>
            <w:tcBorders>
              <w:top w:val="nil"/>
              <w:left w:val="nil"/>
              <w:bottom w:val="nil"/>
              <w:right w:val="nil"/>
            </w:tcBorders>
            <w:shd w:val="clear" w:color="auto" w:fill="auto"/>
            <w:noWrap/>
            <w:vAlign w:val="center"/>
            <w:hideMark/>
          </w:tcPr>
          <w:p w14:paraId="560F7598"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5,644,711</w:t>
            </w:r>
          </w:p>
        </w:tc>
        <w:tc>
          <w:tcPr>
            <w:tcW w:w="0" w:type="auto"/>
            <w:tcBorders>
              <w:top w:val="nil"/>
              <w:left w:val="nil"/>
              <w:bottom w:val="nil"/>
              <w:right w:val="nil"/>
            </w:tcBorders>
            <w:shd w:val="clear" w:color="auto" w:fill="auto"/>
            <w:noWrap/>
            <w:vAlign w:val="center"/>
            <w:hideMark/>
          </w:tcPr>
          <w:p w14:paraId="2A1F3863"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6,585,496</w:t>
            </w:r>
          </w:p>
        </w:tc>
        <w:tc>
          <w:tcPr>
            <w:tcW w:w="0" w:type="auto"/>
            <w:tcBorders>
              <w:top w:val="nil"/>
              <w:left w:val="nil"/>
              <w:bottom w:val="nil"/>
              <w:right w:val="nil"/>
            </w:tcBorders>
            <w:shd w:val="clear" w:color="auto" w:fill="auto"/>
            <w:noWrap/>
            <w:vAlign w:val="center"/>
            <w:hideMark/>
          </w:tcPr>
          <w:p w14:paraId="0AC3049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7,526,281</w:t>
            </w:r>
          </w:p>
        </w:tc>
        <w:tc>
          <w:tcPr>
            <w:tcW w:w="0" w:type="auto"/>
            <w:tcBorders>
              <w:top w:val="nil"/>
              <w:left w:val="nil"/>
              <w:bottom w:val="nil"/>
              <w:right w:val="nil"/>
            </w:tcBorders>
            <w:shd w:val="clear" w:color="auto" w:fill="auto"/>
            <w:noWrap/>
            <w:vAlign w:val="center"/>
            <w:hideMark/>
          </w:tcPr>
          <w:p w14:paraId="7693A11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8,467,066</w:t>
            </w:r>
          </w:p>
        </w:tc>
        <w:tc>
          <w:tcPr>
            <w:tcW w:w="0" w:type="auto"/>
            <w:tcBorders>
              <w:top w:val="nil"/>
              <w:left w:val="nil"/>
              <w:bottom w:val="nil"/>
              <w:right w:val="nil"/>
            </w:tcBorders>
            <w:shd w:val="clear" w:color="auto" w:fill="auto"/>
            <w:noWrap/>
            <w:vAlign w:val="center"/>
            <w:hideMark/>
          </w:tcPr>
          <w:p w14:paraId="1896FA52"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9,407,852</w:t>
            </w:r>
          </w:p>
        </w:tc>
        <w:tc>
          <w:tcPr>
            <w:tcW w:w="0" w:type="auto"/>
            <w:tcBorders>
              <w:top w:val="nil"/>
              <w:left w:val="nil"/>
              <w:bottom w:val="nil"/>
              <w:right w:val="nil"/>
            </w:tcBorders>
            <w:shd w:val="clear" w:color="auto" w:fill="auto"/>
            <w:noWrap/>
            <w:vAlign w:val="center"/>
            <w:hideMark/>
          </w:tcPr>
          <w:p w14:paraId="730DDA0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10,348,637</w:t>
            </w:r>
          </w:p>
        </w:tc>
        <w:tc>
          <w:tcPr>
            <w:tcW w:w="0" w:type="auto"/>
            <w:tcBorders>
              <w:top w:val="nil"/>
              <w:left w:val="nil"/>
              <w:bottom w:val="nil"/>
              <w:right w:val="nil"/>
            </w:tcBorders>
            <w:shd w:val="clear" w:color="auto" w:fill="auto"/>
            <w:noWrap/>
            <w:vAlign w:val="center"/>
            <w:hideMark/>
          </w:tcPr>
          <w:p w14:paraId="757322C0"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11,289,422</w:t>
            </w:r>
          </w:p>
        </w:tc>
        <w:tc>
          <w:tcPr>
            <w:tcW w:w="0" w:type="auto"/>
            <w:tcBorders>
              <w:top w:val="nil"/>
              <w:left w:val="nil"/>
              <w:bottom w:val="nil"/>
              <w:right w:val="nil"/>
            </w:tcBorders>
            <w:shd w:val="clear" w:color="auto" w:fill="auto"/>
            <w:noWrap/>
            <w:vAlign w:val="center"/>
            <w:hideMark/>
          </w:tcPr>
          <w:p w14:paraId="5D090DA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12,230,207</w:t>
            </w:r>
          </w:p>
        </w:tc>
        <w:tc>
          <w:tcPr>
            <w:tcW w:w="0" w:type="auto"/>
            <w:tcBorders>
              <w:top w:val="nil"/>
              <w:left w:val="nil"/>
              <w:bottom w:val="nil"/>
              <w:right w:val="nil"/>
            </w:tcBorders>
            <w:shd w:val="clear" w:color="auto" w:fill="auto"/>
            <w:noWrap/>
            <w:vAlign w:val="center"/>
            <w:hideMark/>
          </w:tcPr>
          <w:p w14:paraId="3F5E44F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13,170,992</w:t>
            </w:r>
          </w:p>
        </w:tc>
        <w:tc>
          <w:tcPr>
            <w:tcW w:w="0" w:type="auto"/>
            <w:tcBorders>
              <w:top w:val="nil"/>
              <w:left w:val="nil"/>
              <w:bottom w:val="nil"/>
              <w:right w:val="nil"/>
            </w:tcBorders>
            <w:shd w:val="clear" w:color="auto" w:fill="auto"/>
            <w:noWrap/>
            <w:vAlign w:val="center"/>
            <w:hideMark/>
          </w:tcPr>
          <w:p w14:paraId="1E87BA0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14,111,777</w:t>
            </w:r>
          </w:p>
        </w:tc>
        <w:tc>
          <w:tcPr>
            <w:tcW w:w="0" w:type="auto"/>
            <w:tcBorders>
              <w:top w:val="nil"/>
              <w:left w:val="nil"/>
              <w:bottom w:val="nil"/>
              <w:right w:val="nil"/>
            </w:tcBorders>
            <w:shd w:val="clear" w:color="auto" w:fill="auto"/>
            <w:noWrap/>
            <w:vAlign w:val="center"/>
            <w:hideMark/>
          </w:tcPr>
          <w:p w14:paraId="57F773C8"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15,052,562</w:t>
            </w:r>
          </w:p>
        </w:tc>
      </w:tr>
      <w:tr w:rsidR="006E6FF6" w:rsidRPr="004D60D8" w14:paraId="4066568E" w14:textId="77777777" w:rsidTr="00CF0BB2">
        <w:trPr>
          <w:trHeight w:val="300"/>
        </w:trPr>
        <w:tc>
          <w:tcPr>
            <w:tcW w:w="0" w:type="auto"/>
            <w:tcBorders>
              <w:top w:val="nil"/>
              <w:left w:val="nil"/>
              <w:bottom w:val="single" w:sz="8" w:space="0" w:color="auto"/>
              <w:right w:val="nil"/>
            </w:tcBorders>
            <w:shd w:val="clear" w:color="auto" w:fill="auto"/>
            <w:noWrap/>
            <w:vAlign w:val="center"/>
            <w:hideMark/>
          </w:tcPr>
          <w:p w14:paraId="6346CC17" w14:textId="77777777" w:rsidR="006E6FF6" w:rsidRPr="004D60D8" w:rsidRDefault="006E6FF6" w:rsidP="007E2130">
            <w:pPr>
              <w:spacing w:line="240" w:lineRule="auto"/>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Maximum Storage</w:t>
            </w:r>
          </w:p>
        </w:tc>
        <w:tc>
          <w:tcPr>
            <w:tcW w:w="0" w:type="auto"/>
            <w:tcBorders>
              <w:top w:val="nil"/>
              <w:left w:val="nil"/>
              <w:bottom w:val="single" w:sz="8" w:space="0" w:color="auto"/>
              <w:right w:val="nil"/>
            </w:tcBorders>
            <w:shd w:val="clear" w:color="auto" w:fill="auto"/>
            <w:noWrap/>
            <w:vAlign w:val="center"/>
            <w:hideMark/>
          </w:tcPr>
          <w:p w14:paraId="2E10844B"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126,949</w:t>
            </w:r>
          </w:p>
        </w:tc>
        <w:tc>
          <w:tcPr>
            <w:tcW w:w="0" w:type="auto"/>
            <w:tcBorders>
              <w:top w:val="nil"/>
              <w:left w:val="nil"/>
              <w:bottom w:val="single" w:sz="8" w:space="0" w:color="auto"/>
              <w:right w:val="nil"/>
            </w:tcBorders>
            <w:shd w:val="clear" w:color="auto" w:fill="auto"/>
            <w:noWrap/>
            <w:vAlign w:val="center"/>
            <w:hideMark/>
          </w:tcPr>
          <w:p w14:paraId="4AB00757"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248,279</w:t>
            </w:r>
          </w:p>
        </w:tc>
        <w:tc>
          <w:tcPr>
            <w:tcW w:w="0" w:type="auto"/>
            <w:tcBorders>
              <w:top w:val="nil"/>
              <w:left w:val="nil"/>
              <w:bottom w:val="single" w:sz="8" w:space="0" w:color="auto"/>
              <w:right w:val="nil"/>
            </w:tcBorders>
            <w:shd w:val="clear" w:color="auto" w:fill="auto"/>
            <w:noWrap/>
            <w:vAlign w:val="center"/>
            <w:hideMark/>
          </w:tcPr>
          <w:p w14:paraId="5E166321"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341,045</w:t>
            </w:r>
          </w:p>
        </w:tc>
        <w:tc>
          <w:tcPr>
            <w:tcW w:w="0" w:type="auto"/>
            <w:tcBorders>
              <w:top w:val="nil"/>
              <w:left w:val="nil"/>
              <w:bottom w:val="single" w:sz="8" w:space="0" w:color="auto"/>
              <w:right w:val="nil"/>
            </w:tcBorders>
            <w:shd w:val="clear" w:color="auto" w:fill="auto"/>
            <w:noWrap/>
            <w:vAlign w:val="center"/>
            <w:hideMark/>
          </w:tcPr>
          <w:p w14:paraId="1BE5D09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420,781</w:t>
            </w:r>
          </w:p>
        </w:tc>
        <w:tc>
          <w:tcPr>
            <w:tcW w:w="0" w:type="auto"/>
            <w:tcBorders>
              <w:top w:val="nil"/>
              <w:left w:val="nil"/>
              <w:bottom w:val="single" w:sz="8" w:space="0" w:color="auto"/>
              <w:right w:val="nil"/>
            </w:tcBorders>
            <w:shd w:val="clear" w:color="auto" w:fill="auto"/>
            <w:noWrap/>
            <w:vAlign w:val="center"/>
            <w:hideMark/>
          </w:tcPr>
          <w:p w14:paraId="5A80F8E4"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492,451</w:t>
            </w:r>
          </w:p>
        </w:tc>
        <w:tc>
          <w:tcPr>
            <w:tcW w:w="0" w:type="auto"/>
            <w:tcBorders>
              <w:top w:val="nil"/>
              <w:left w:val="nil"/>
              <w:bottom w:val="single" w:sz="8" w:space="0" w:color="auto"/>
              <w:right w:val="nil"/>
            </w:tcBorders>
            <w:shd w:val="clear" w:color="auto" w:fill="auto"/>
            <w:noWrap/>
            <w:vAlign w:val="center"/>
            <w:hideMark/>
          </w:tcPr>
          <w:p w14:paraId="20D92536"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558,443</w:t>
            </w:r>
          </w:p>
        </w:tc>
        <w:tc>
          <w:tcPr>
            <w:tcW w:w="0" w:type="auto"/>
            <w:tcBorders>
              <w:top w:val="nil"/>
              <w:left w:val="nil"/>
              <w:bottom w:val="single" w:sz="8" w:space="0" w:color="auto"/>
              <w:right w:val="nil"/>
            </w:tcBorders>
            <w:shd w:val="clear" w:color="auto" w:fill="auto"/>
            <w:noWrap/>
            <w:vAlign w:val="center"/>
            <w:hideMark/>
          </w:tcPr>
          <w:p w14:paraId="45754F0D"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620,133</w:t>
            </w:r>
          </w:p>
        </w:tc>
        <w:tc>
          <w:tcPr>
            <w:tcW w:w="0" w:type="auto"/>
            <w:tcBorders>
              <w:top w:val="nil"/>
              <w:left w:val="nil"/>
              <w:bottom w:val="single" w:sz="8" w:space="0" w:color="auto"/>
              <w:right w:val="nil"/>
            </w:tcBorders>
            <w:shd w:val="clear" w:color="auto" w:fill="auto"/>
            <w:noWrap/>
            <w:vAlign w:val="center"/>
            <w:hideMark/>
          </w:tcPr>
          <w:p w14:paraId="406675AC"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678,408</w:t>
            </w:r>
          </w:p>
        </w:tc>
        <w:tc>
          <w:tcPr>
            <w:tcW w:w="0" w:type="auto"/>
            <w:tcBorders>
              <w:top w:val="nil"/>
              <w:left w:val="nil"/>
              <w:bottom w:val="single" w:sz="8" w:space="0" w:color="auto"/>
              <w:right w:val="nil"/>
            </w:tcBorders>
            <w:shd w:val="clear" w:color="auto" w:fill="auto"/>
            <w:noWrap/>
            <w:vAlign w:val="center"/>
            <w:hideMark/>
          </w:tcPr>
          <w:p w14:paraId="35BD1A0E"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733,878</w:t>
            </w:r>
          </w:p>
        </w:tc>
        <w:tc>
          <w:tcPr>
            <w:tcW w:w="0" w:type="auto"/>
            <w:tcBorders>
              <w:top w:val="nil"/>
              <w:left w:val="nil"/>
              <w:bottom w:val="single" w:sz="8" w:space="0" w:color="auto"/>
              <w:right w:val="nil"/>
            </w:tcBorders>
            <w:shd w:val="clear" w:color="auto" w:fill="auto"/>
            <w:noWrap/>
            <w:vAlign w:val="center"/>
            <w:hideMark/>
          </w:tcPr>
          <w:p w14:paraId="329D6B5F"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786,986</w:t>
            </w:r>
          </w:p>
        </w:tc>
        <w:tc>
          <w:tcPr>
            <w:tcW w:w="0" w:type="auto"/>
            <w:tcBorders>
              <w:top w:val="nil"/>
              <w:left w:val="nil"/>
              <w:bottom w:val="single" w:sz="8" w:space="0" w:color="auto"/>
              <w:right w:val="nil"/>
            </w:tcBorders>
            <w:shd w:val="clear" w:color="auto" w:fill="auto"/>
            <w:noWrap/>
            <w:vAlign w:val="center"/>
            <w:hideMark/>
          </w:tcPr>
          <w:p w14:paraId="5C2CDEA5" w14:textId="77777777" w:rsidR="006E6FF6" w:rsidRPr="004D60D8" w:rsidRDefault="006E6FF6" w:rsidP="007E2130">
            <w:pPr>
              <w:spacing w:line="240" w:lineRule="auto"/>
              <w:jc w:val="right"/>
              <w:rPr>
                <w:rFonts w:ascii="Times New Roman" w:eastAsia="Times New Roman" w:hAnsi="Times New Roman" w:cs="Times New Roman"/>
                <w:i/>
                <w:iCs/>
                <w:color w:val="000000"/>
                <w:sz w:val="14"/>
                <w:lang w:val="en-US"/>
              </w:rPr>
            </w:pPr>
            <w:r w:rsidRPr="004D60D8">
              <w:rPr>
                <w:rFonts w:ascii="Times New Roman" w:eastAsia="Times New Roman" w:hAnsi="Times New Roman" w:cs="Times New Roman"/>
                <w:i/>
                <w:iCs/>
                <w:color w:val="000000"/>
                <w:sz w:val="14"/>
                <w:lang w:val="en-US"/>
              </w:rPr>
              <w:t>838,066</w:t>
            </w:r>
          </w:p>
        </w:tc>
      </w:tr>
      <w:tr w:rsidR="006E6FF6" w:rsidRPr="004D60D8" w14:paraId="1D0FAC49" w14:textId="77777777" w:rsidTr="00CF0BB2">
        <w:trPr>
          <w:trHeight w:val="300"/>
        </w:trPr>
        <w:tc>
          <w:tcPr>
            <w:tcW w:w="0" w:type="auto"/>
            <w:tcBorders>
              <w:top w:val="nil"/>
              <w:left w:val="nil"/>
              <w:bottom w:val="single" w:sz="8" w:space="0" w:color="auto"/>
              <w:right w:val="nil"/>
            </w:tcBorders>
            <w:shd w:val="clear" w:color="000000" w:fill="F2F2F2"/>
            <w:noWrap/>
            <w:vAlign w:val="center"/>
            <w:hideMark/>
          </w:tcPr>
          <w:p w14:paraId="31134DAB" w14:textId="4AAD8745"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Levelized Cost (TEA model</w:t>
            </w:r>
            <w:r w:rsidR="000B3148" w:rsidRPr="004D60D8">
              <w:rPr>
                <w:rFonts w:ascii="Times New Roman" w:eastAsia="Times New Roman" w:hAnsi="Times New Roman" w:cs="Times New Roman"/>
                <w:b/>
                <w:bCs/>
                <w:color w:val="000000"/>
                <w:sz w:val="14"/>
                <w:lang w:val="en-US"/>
              </w:rPr>
              <w:t>, Note 1</w:t>
            </w:r>
            <w:r w:rsidRPr="004D60D8">
              <w:rPr>
                <w:rFonts w:ascii="Times New Roman" w:eastAsia="Times New Roman" w:hAnsi="Times New Roman" w:cs="Times New Roman"/>
                <w:b/>
                <w:bCs/>
                <w:color w:val="000000"/>
                <w:sz w:val="14"/>
                <w:lang w:val="en-US"/>
              </w:rPr>
              <w:t>)</w:t>
            </w:r>
          </w:p>
        </w:tc>
        <w:tc>
          <w:tcPr>
            <w:tcW w:w="0" w:type="auto"/>
            <w:tcBorders>
              <w:top w:val="nil"/>
              <w:left w:val="nil"/>
              <w:bottom w:val="single" w:sz="8" w:space="0" w:color="auto"/>
              <w:right w:val="nil"/>
            </w:tcBorders>
            <w:shd w:val="clear" w:color="000000" w:fill="F2F2F2"/>
            <w:noWrap/>
            <w:vAlign w:val="center"/>
            <w:hideMark/>
          </w:tcPr>
          <w:p w14:paraId="4C9768EB"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1.36</w:t>
            </w:r>
          </w:p>
        </w:tc>
        <w:tc>
          <w:tcPr>
            <w:tcW w:w="0" w:type="auto"/>
            <w:tcBorders>
              <w:top w:val="nil"/>
              <w:left w:val="nil"/>
              <w:bottom w:val="single" w:sz="8" w:space="0" w:color="auto"/>
              <w:right w:val="nil"/>
            </w:tcBorders>
            <w:shd w:val="clear" w:color="000000" w:fill="F2F2F2"/>
            <w:noWrap/>
            <w:vAlign w:val="center"/>
            <w:hideMark/>
          </w:tcPr>
          <w:p w14:paraId="67A0EA5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1.59</w:t>
            </w:r>
          </w:p>
        </w:tc>
        <w:tc>
          <w:tcPr>
            <w:tcW w:w="0" w:type="auto"/>
            <w:tcBorders>
              <w:top w:val="nil"/>
              <w:left w:val="nil"/>
              <w:bottom w:val="single" w:sz="8" w:space="0" w:color="auto"/>
              <w:right w:val="nil"/>
            </w:tcBorders>
            <w:shd w:val="clear" w:color="000000" w:fill="F2F2F2"/>
            <w:noWrap/>
            <w:vAlign w:val="center"/>
            <w:hideMark/>
          </w:tcPr>
          <w:p w14:paraId="234C00AD"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1.73</w:t>
            </w:r>
          </w:p>
        </w:tc>
        <w:tc>
          <w:tcPr>
            <w:tcW w:w="0" w:type="auto"/>
            <w:tcBorders>
              <w:top w:val="nil"/>
              <w:left w:val="nil"/>
              <w:bottom w:val="single" w:sz="8" w:space="0" w:color="auto"/>
              <w:right w:val="nil"/>
            </w:tcBorders>
            <w:shd w:val="clear" w:color="000000" w:fill="F2F2F2"/>
            <w:noWrap/>
            <w:vAlign w:val="center"/>
            <w:hideMark/>
          </w:tcPr>
          <w:p w14:paraId="35C2AF3C"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1.84</w:t>
            </w:r>
          </w:p>
        </w:tc>
        <w:tc>
          <w:tcPr>
            <w:tcW w:w="0" w:type="auto"/>
            <w:tcBorders>
              <w:top w:val="nil"/>
              <w:left w:val="nil"/>
              <w:bottom w:val="single" w:sz="8" w:space="0" w:color="auto"/>
              <w:right w:val="nil"/>
            </w:tcBorders>
            <w:shd w:val="clear" w:color="000000" w:fill="F2F2F2"/>
            <w:noWrap/>
            <w:vAlign w:val="center"/>
            <w:hideMark/>
          </w:tcPr>
          <w:p w14:paraId="08C9681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1.91</w:t>
            </w:r>
          </w:p>
        </w:tc>
        <w:tc>
          <w:tcPr>
            <w:tcW w:w="0" w:type="auto"/>
            <w:tcBorders>
              <w:top w:val="nil"/>
              <w:left w:val="nil"/>
              <w:bottom w:val="single" w:sz="8" w:space="0" w:color="auto"/>
              <w:right w:val="nil"/>
            </w:tcBorders>
            <w:shd w:val="clear" w:color="000000" w:fill="F2F2F2"/>
            <w:noWrap/>
            <w:vAlign w:val="center"/>
            <w:hideMark/>
          </w:tcPr>
          <w:p w14:paraId="31AB054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1.97</w:t>
            </w:r>
          </w:p>
        </w:tc>
        <w:tc>
          <w:tcPr>
            <w:tcW w:w="0" w:type="auto"/>
            <w:tcBorders>
              <w:top w:val="nil"/>
              <w:left w:val="nil"/>
              <w:bottom w:val="single" w:sz="8" w:space="0" w:color="auto"/>
              <w:right w:val="nil"/>
            </w:tcBorders>
            <w:shd w:val="clear" w:color="000000" w:fill="F2F2F2"/>
            <w:noWrap/>
            <w:vAlign w:val="center"/>
            <w:hideMark/>
          </w:tcPr>
          <w:p w14:paraId="08F68D93"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2.02</w:t>
            </w:r>
          </w:p>
        </w:tc>
        <w:tc>
          <w:tcPr>
            <w:tcW w:w="0" w:type="auto"/>
            <w:tcBorders>
              <w:top w:val="nil"/>
              <w:left w:val="nil"/>
              <w:bottom w:val="single" w:sz="8" w:space="0" w:color="auto"/>
              <w:right w:val="nil"/>
            </w:tcBorders>
            <w:shd w:val="clear" w:color="000000" w:fill="F2F2F2"/>
            <w:noWrap/>
            <w:vAlign w:val="center"/>
            <w:hideMark/>
          </w:tcPr>
          <w:p w14:paraId="75A201E3"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2.06</w:t>
            </w:r>
          </w:p>
        </w:tc>
        <w:tc>
          <w:tcPr>
            <w:tcW w:w="0" w:type="auto"/>
            <w:tcBorders>
              <w:top w:val="nil"/>
              <w:left w:val="nil"/>
              <w:bottom w:val="single" w:sz="8" w:space="0" w:color="auto"/>
              <w:right w:val="nil"/>
            </w:tcBorders>
            <w:shd w:val="clear" w:color="000000" w:fill="F2F2F2"/>
            <w:noWrap/>
            <w:vAlign w:val="center"/>
            <w:hideMark/>
          </w:tcPr>
          <w:p w14:paraId="632F583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2.09</w:t>
            </w:r>
          </w:p>
        </w:tc>
        <w:tc>
          <w:tcPr>
            <w:tcW w:w="0" w:type="auto"/>
            <w:tcBorders>
              <w:top w:val="nil"/>
              <w:left w:val="nil"/>
              <w:bottom w:val="single" w:sz="8" w:space="0" w:color="auto"/>
              <w:right w:val="nil"/>
            </w:tcBorders>
            <w:shd w:val="clear" w:color="000000" w:fill="F2F2F2"/>
            <w:noWrap/>
            <w:vAlign w:val="center"/>
            <w:hideMark/>
          </w:tcPr>
          <w:p w14:paraId="2A587F2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2.11</w:t>
            </w:r>
          </w:p>
        </w:tc>
        <w:tc>
          <w:tcPr>
            <w:tcW w:w="0" w:type="auto"/>
            <w:tcBorders>
              <w:top w:val="nil"/>
              <w:left w:val="nil"/>
              <w:bottom w:val="single" w:sz="8" w:space="0" w:color="auto"/>
              <w:right w:val="nil"/>
            </w:tcBorders>
            <w:shd w:val="clear" w:color="000000" w:fill="F2F2F2"/>
            <w:noWrap/>
            <w:vAlign w:val="center"/>
            <w:hideMark/>
          </w:tcPr>
          <w:p w14:paraId="20133CC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2.13</w:t>
            </w:r>
          </w:p>
        </w:tc>
      </w:tr>
      <w:tr w:rsidR="006E6FF6" w:rsidRPr="004D60D8" w14:paraId="5FCD52CB" w14:textId="77777777" w:rsidTr="00CF0BB2">
        <w:trPr>
          <w:trHeight w:val="300"/>
        </w:trPr>
        <w:tc>
          <w:tcPr>
            <w:tcW w:w="0" w:type="auto"/>
            <w:tcBorders>
              <w:top w:val="nil"/>
              <w:left w:val="nil"/>
              <w:bottom w:val="single" w:sz="8" w:space="0" w:color="auto"/>
              <w:right w:val="nil"/>
            </w:tcBorders>
            <w:shd w:val="clear" w:color="000000" w:fill="FFF2CC"/>
            <w:noWrap/>
            <w:vAlign w:val="center"/>
            <w:hideMark/>
          </w:tcPr>
          <w:p w14:paraId="7D512802" w14:textId="6DD10C5F"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Levelized Cost (Equation</w:t>
            </w:r>
            <w:r w:rsidR="000B3148" w:rsidRPr="004D60D8">
              <w:rPr>
                <w:rFonts w:ascii="Times New Roman" w:eastAsia="Times New Roman" w:hAnsi="Times New Roman" w:cs="Times New Roman"/>
                <w:b/>
                <w:bCs/>
                <w:color w:val="000000"/>
                <w:sz w:val="14"/>
                <w:lang w:val="en-US"/>
              </w:rPr>
              <w:t xml:space="preserve"> 6</w:t>
            </w:r>
            <w:r w:rsidRPr="004D60D8">
              <w:rPr>
                <w:rFonts w:ascii="Times New Roman" w:eastAsia="Times New Roman" w:hAnsi="Times New Roman" w:cs="Times New Roman"/>
                <w:b/>
                <w:bCs/>
                <w:color w:val="000000"/>
                <w:sz w:val="14"/>
                <w:lang w:val="en-US"/>
              </w:rPr>
              <w:t>)</w:t>
            </w:r>
          </w:p>
        </w:tc>
        <w:tc>
          <w:tcPr>
            <w:tcW w:w="0" w:type="auto"/>
            <w:tcBorders>
              <w:top w:val="nil"/>
              <w:left w:val="nil"/>
              <w:bottom w:val="single" w:sz="8" w:space="0" w:color="auto"/>
              <w:right w:val="nil"/>
            </w:tcBorders>
            <w:shd w:val="clear" w:color="000000" w:fill="FFF2CC"/>
            <w:noWrap/>
            <w:vAlign w:val="bottom"/>
            <w:hideMark/>
          </w:tcPr>
          <w:p w14:paraId="2D78DD79"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1.44</w:t>
            </w:r>
          </w:p>
        </w:tc>
        <w:tc>
          <w:tcPr>
            <w:tcW w:w="0" w:type="auto"/>
            <w:tcBorders>
              <w:top w:val="nil"/>
              <w:left w:val="nil"/>
              <w:bottom w:val="single" w:sz="8" w:space="0" w:color="auto"/>
              <w:right w:val="nil"/>
            </w:tcBorders>
            <w:shd w:val="clear" w:color="000000" w:fill="FFF2CC"/>
            <w:noWrap/>
            <w:vAlign w:val="bottom"/>
            <w:hideMark/>
          </w:tcPr>
          <w:p w14:paraId="10D5317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1.60</w:t>
            </w:r>
          </w:p>
        </w:tc>
        <w:tc>
          <w:tcPr>
            <w:tcW w:w="0" w:type="auto"/>
            <w:tcBorders>
              <w:top w:val="nil"/>
              <w:left w:val="nil"/>
              <w:bottom w:val="single" w:sz="8" w:space="0" w:color="auto"/>
              <w:right w:val="nil"/>
            </w:tcBorders>
            <w:shd w:val="clear" w:color="000000" w:fill="FFF2CC"/>
            <w:noWrap/>
            <w:vAlign w:val="bottom"/>
            <w:hideMark/>
          </w:tcPr>
          <w:p w14:paraId="5DD7792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1.72</w:t>
            </w:r>
          </w:p>
        </w:tc>
        <w:tc>
          <w:tcPr>
            <w:tcW w:w="0" w:type="auto"/>
            <w:tcBorders>
              <w:top w:val="nil"/>
              <w:left w:val="nil"/>
              <w:bottom w:val="single" w:sz="8" w:space="0" w:color="auto"/>
              <w:right w:val="nil"/>
            </w:tcBorders>
            <w:shd w:val="clear" w:color="000000" w:fill="FFF2CC"/>
            <w:noWrap/>
            <w:vAlign w:val="bottom"/>
            <w:hideMark/>
          </w:tcPr>
          <w:p w14:paraId="2E4F7542"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1.82</w:t>
            </w:r>
          </w:p>
        </w:tc>
        <w:tc>
          <w:tcPr>
            <w:tcW w:w="0" w:type="auto"/>
            <w:tcBorders>
              <w:top w:val="nil"/>
              <w:left w:val="nil"/>
              <w:bottom w:val="single" w:sz="8" w:space="0" w:color="auto"/>
              <w:right w:val="nil"/>
            </w:tcBorders>
            <w:shd w:val="clear" w:color="000000" w:fill="FFF2CC"/>
            <w:noWrap/>
            <w:vAlign w:val="bottom"/>
            <w:hideMark/>
          </w:tcPr>
          <w:p w14:paraId="39521F4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1.89</w:t>
            </w:r>
          </w:p>
        </w:tc>
        <w:tc>
          <w:tcPr>
            <w:tcW w:w="0" w:type="auto"/>
            <w:tcBorders>
              <w:top w:val="nil"/>
              <w:left w:val="nil"/>
              <w:bottom w:val="single" w:sz="8" w:space="0" w:color="auto"/>
              <w:right w:val="nil"/>
            </w:tcBorders>
            <w:shd w:val="clear" w:color="000000" w:fill="FFF2CC"/>
            <w:noWrap/>
            <w:vAlign w:val="bottom"/>
            <w:hideMark/>
          </w:tcPr>
          <w:p w14:paraId="1E86800C"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1.96</w:t>
            </w:r>
          </w:p>
        </w:tc>
        <w:tc>
          <w:tcPr>
            <w:tcW w:w="0" w:type="auto"/>
            <w:tcBorders>
              <w:top w:val="nil"/>
              <w:left w:val="nil"/>
              <w:bottom w:val="single" w:sz="8" w:space="0" w:color="auto"/>
              <w:right w:val="nil"/>
            </w:tcBorders>
            <w:shd w:val="clear" w:color="000000" w:fill="FFF2CC"/>
            <w:noWrap/>
            <w:vAlign w:val="bottom"/>
            <w:hideMark/>
          </w:tcPr>
          <w:p w14:paraId="28EB0801"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2.01</w:t>
            </w:r>
          </w:p>
        </w:tc>
        <w:tc>
          <w:tcPr>
            <w:tcW w:w="0" w:type="auto"/>
            <w:tcBorders>
              <w:top w:val="nil"/>
              <w:left w:val="nil"/>
              <w:bottom w:val="single" w:sz="8" w:space="0" w:color="auto"/>
              <w:right w:val="nil"/>
            </w:tcBorders>
            <w:shd w:val="clear" w:color="000000" w:fill="FFF2CC"/>
            <w:noWrap/>
            <w:vAlign w:val="bottom"/>
            <w:hideMark/>
          </w:tcPr>
          <w:p w14:paraId="5B9ED851"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2.05</w:t>
            </w:r>
          </w:p>
        </w:tc>
        <w:tc>
          <w:tcPr>
            <w:tcW w:w="0" w:type="auto"/>
            <w:tcBorders>
              <w:top w:val="nil"/>
              <w:left w:val="nil"/>
              <w:bottom w:val="single" w:sz="8" w:space="0" w:color="auto"/>
              <w:right w:val="nil"/>
            </w:tcBorders>
            <w:shd w:val="clear" w:color="000000" w:fill="FFF2CC"/>
            <w:noWrap/>
            <w:vAlign w:val="bottom"/>
            <w:hideMark/>
          </w:tcPr>
          <w:p w14:paraId="77DD7FF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2.09</w:t>
            </w:r>
          </w:p>
        </w:tc>
        <w:tc>
          <w:tcPr>
            <w:tcW w:w="0" w:type="auto"/>
            <w:tcBorders>
              <w:top w:val="nil"/>
              <w:left w:val="nil"/>
              <w:bottom w:val="single" w:sz="8" w:space="0" w:color="auto"/>
              <w:right w:val="nil"/>
            </w:tcBorders>
            <w:shd w:val="clear" w:color="000000" w:fill="FFF2CC"/>
            <w:noWrap/>
            <w:vAlign w:val="bottom"/>
            <w:hideMark/>
          </w:tcPr>
          <w:p w14:paraId="078390E3"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2.12</w:t>
            </w:r>
          </w:p>
        </w:tc>
        <w:tc>
          <w:tcPr>
            <w:tcW w:w="0" w:type="auto"/>
            <w:tcBorders>
              <w:top w:val="nil"/>
              <w:left w:val="nil"/>
              <w:bottom w:val="single" w:sz="8" w:space="0" w:color="auto"/>
              <w:right w:val="nil"/>
            </w:tcBorders>
            <w:shd w:val="clear" w:color="000000" w:fill="FFF2CC"/>
            <w:noWrap/>
            <w:vAlign w:val="bottom"/>
            <w:hideMark/>
          </w:tcPr>
          <w:p w14:paraId="5D59F9B4"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2.15</w:t>
            </w:r>
          </w:p>
        </w:tc>
      </w:tr>
      <w:tr w:rsidR="006E6FF6" w:rsidRPr="004D60D8" w14:paraId="2AFC1075" w14:textId="77777777" w:rsidTr="00CF0BB2">
        <w:trPr>
          <w:trHeight w:val="300"/>
        </w:trPr>
        <w:tc>
          <w:tcPr>
            <w:tcW w:w="0" w:type="auto"/>
            <w:tcBorders>
              <w:top w:val="nil"/>
              <w:left w:val="nil"/>
              <w:bottom w:val="single" w:sz="8" w:space="0" w:color="auto"/>
              <w:right w:val="nil"/>
            </w:tcBorders>
            <w:shd w:val="clear" w:color="auto" w:fill="auto"/>
            <w:noWrap/>
            <w:vAlign w:val="center"/>
            <w:hideMark/>
          </w:tcPr>
          <w:p w14:paraId="62EE1EDE" w14:textId="77777777" w:rsidR="006E6FF6" w:rsidRPr="004D60D8" w:rsidRDefault="006E6FF6" w:rsidP="007E2130">
            <w:pPr>
              <w:spacing w:line="240" w:lineRule="auto"/>
              <w:rPr>
                <w:rFonts w:ascii="Times New Roman" w:eastAsia="Times New Roman" w:hAnsi="Times New Roman" w:cs="Times New Roman"/>
                <w:b/>
                <w:bCs/>
                <w:color w:val="000000"/>
                <w:sz w:val="14"/>
                <w:lang w:val="en-US"/>
              </w:rPr>
            </w:pPr>
            <w:r w:rsidRPr="004D60D8">
              <w:rPr>
                <w:rFonts w:ascii="Times New Roman" w:eastAsia="Times New Roman" w:hAnsi="Times New Roman" w:cs="Times New Roman"/>
                <w:b/>
                <w:bCs/>
                <w:color w:val="000000"/>
                <w:sz w:val="14"/>
                <w:lang w:val="en-US"/>
              </w:rPr>
              <w:t>Error</w:t>
            </w:r>
          </w:p>
        </w:tc>
        <w:tc>
          <w:tcPr>
            <w:tcW w:w="0" w:type="auto"/>
            <w:tcBorders>
              <w:top w:val="nil"/>
              <w:left w:val="nil"/>
              <w:bottom w:val="single" w:sz="8" w:space="0" w:color="auto"/>
              <w:right w:val="nil"/>
            </w:tcBorders>
            <w:shd w:val="clear" w:color="auto" w:fill="auto"/>
            <w:noWrap/>
            <w:vAlign w:val="center"/>
            <w:hideMark/>
          </w:tcPr>
          <w:p w14:paraId="642324C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4.93%</w:t>
            </w:r>
          </w:p>
        </w:tc>
        <w:tc>
          <w:tcPr>
            <w:tcW w:w="0" w:type="auto"/>
            <w:tcBorders>
              <w:top w:val="nil"/>
              <w:left w:val="nil"/>
              <w:bottom w:val="single" w:sz="8" w:space="0" w:color="auto"/>
              <w:right w:val="nil"/>
            </w:tcBorders>
            <w:shd w:val="clear" w:color="auto" w:fill="auto"/>
            <w:noWrap/>
            <w:vAlign w:val="center"/>
            <w:hideMark/>
          </w:tcPr>
          <w:p w14:paraId="3346E958"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0.83%</w:t>
            </w:r>
          </w:p>
        </w:tc>
        <w:tc>
          <w:tcPr>
            <w:tcW w:w="0" w:type="auto"/>
            <w:tcBorders>
              <w:top w:val="nil"/>
              <w:left w:val="nil"/>
              <w:bottom w:val="single" w:sz="8" w:space="0" w:color="auto"/>
              <w:right w:val="nil"/>
            </w:tcBorders>
            <w:shd w:val="clear" w:color="auto" w:fill="auto"/>
            <w:noWrap/>
            <w:vAlign w:val="center"/>
            <w:hideMark/>
          </w:tcPr>
          <w:p w14:paraId="4272A2E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-0.64%</w:t>
            </w:r>
          </w:p>
        </w:tc>
        <w:tc>
          <w:tcPr>
            <w:tcW w:w="0" w:type="auto"/>
            <w:tcBorders>
              <w:top w:val="nil"/>
              <w:left w:val="nil"/>
              <w:bottom w:val="single" w:sz="8" w:space="0" w:color="auto"/>
              <w:right w:val="nil"/>
            </w:tcBorders>
            <w:shd w:val="clear" w:color="auto" w:fill="auto"/>
            <w:noWrap/>
            <w:vAlign w:val="center"/>
            <w:hideMark/>
          </w:tcPr>
          <w:p w14:paraId="42E0016F"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-1.12%</w:t>
            </w:r>
          </w:p>
        </w:tc>
        <w:tc>
          <w:tcPr>
            <w:tcW w:w="0" w:type="auto"/>
            <w:tcBorders>
              <w:top w:val="nil"/>
              <w:left w:val="nil"/>
              <w:bottom w:val="single" w:sz="8" w:space="0" w:color="auto"/>
              <w:right w:val="nil"/>
            </w:tcBorders>
            <w:shd w:val="clear" w:color="auto" w:fill="auto"/>
            <w:noWrap/>
            <w:vAlign w:val="center"/>
            <w:hideMark/>
          </w:tcPr>
          <w:p w14:paraId="26A3DBCA"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-1.15%</w:t>
            </w:r>
          </w:p>
        </w:tc>
        <w:tc>
          <w:tcPr>
            <w:tcW w:w="0" w:type="auto"/>
            <w:tcBorders>
              <w:top w:val="nil"/>
              <w:left w:val="nil"/>
              <w:bottom w:val="single" w:sz="8" w:space="0" w:color="auto"/>
              <w:right w:val="nil"/>
            </w:tcBorders>
            <w:shd w:val="clear" w:color="auto" w:fill="auto"/>
            <w:noWrap/>
            <w:vAlign w:val="center"/>
            <w:hideMark/>
          </w:tcPr>
          <w:p w14:paraId="77338D66"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-0.97%</w:t>
            </w:r>
          </w:p>
        </w:tc>
        <w:tc>
          <w:tcPr>
            <w:tcW w:w="0" w:type="auto"/>
            <w:tcBorders>
              <w:top w:val="nil"/>
              <w:left w:val="nil"/>
              <w:bottom w:val="single" w:sz="8" w:space="0" w:color="auto"/>
              <w:right w:val="nil"/>
            </w:tcBorders>
            <w:shd w:val="clear" w:color="auto" w:fill="auto"/>
            <w:noWrap/>
            <w:vAlign w:val="center"/>
            <w:hideMark/>
          </w:tcPr>
          <w:p w14:paraId="0FC48B0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-0.68%</w:t>
            </w:r>
          </w:p>
        </w:tc>
        <w:tc>
          <w:tcPr>
            <w:tcW w:w="0" w:type="auto"/>
            <w:tcBorders>
              <w:top w:val="nil"/>
              <w:left w:val="nil"/>
              <w:bottom w:val="single" w:sz="8" w:space="0" w:color="auto"/>
              <w:right w:val="nil"/>
            </w:tcBorders>
            <w:shd w:val="clear" w:color="auto" w:fill="auto"/>
            <w:noWrap/>
            <w:vAlign w:val="center"/>
            <w:hideMark/>
          </w:tcPr>
          <w:p w14:paraId="02164085"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-0.33%</w:t>
            </w:r>
          </w:p>
        </w:tc>
        <w:tc>
          <w:tcPr>
            <w:tcW w:w="0" w:type="auto"/>
            <w:tcBorders>
              <w:top w:val="nil"/>
              <w:left w:val="nil"/>
              <w:bottom w:val="single" w:sz="8" w:space="0" w:color="auto"/>
              <w:right w:val="nil"/>
            </w:tcBorders>
            <w:shd w:val="clear" w:color="auto" w:fill="auto"/>
            <w:noWrap/>
            <w:vAlign w:val="center"/>
            <w:hideMark/>
          </w:tcPr>
          <w:p w14:paraId="2AB5F1E7"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0.05%</w:t>
            </w:r>
          </w:p>
        </w:tc>
        <w:tc>
          <w:tcPr>
            <w:tcW w:w="0" w:type="auto"/>
            <w:tcBorders>
              <w:top w:val="nil"/>
              <w:left w:val="nil"/>
              <w:bottom w:val="single" w:sz="8" w:space="0" w:color="auto"/>
              <w:right w:val="nil"/>
            </w:tcBorders>
            <w:shd w:val="clear" w:color="auto" w:fill="auto"/>
            <w:noWrap/>
            <w:vAlign w:val="center"/>
            <w:hideMark/>
          </w:tcPr>
          <w:p w14:paraId="210DFE9E"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0.43%</w:t>
            </w:r>
          </w:p>
        </w:tc>
        <w:tc>
          <w:tcPr>
            <w:tcW w:w="0" w:type="auto"/>
            <w:tcBorders>
              <w:top w:val="nil"/>
              <w:left w:val="nil"/>
              <w:bottom w:val="single" w:sz="8" w:space="0" w:color="auto"/>
              <w:right w:val="nil"/>
            </w:tcBorders>
            <w:shd w:val="clear" w:color="auto" w:fill="auto"/>
            <w:noWrap/>
            <w:vAlign w:val="center"/>
            <w:hideMark/>
          </w:tcPr>
          <w:p w14:paraId="30EDB9C2" w14:textId="77777777" w:rsidR="006E6FF6" w:rsidRPr="004D60D8" w:rsidRDefault="006E6FF6" w:rsidP="007E2130">
            <w:pPr>
              <w:spacing w:line="240" w:lineRule="auto"/>
              <w:jc w:val="right"/>
              <w:rPr>
                <w:rFonts w:ascii="Times New Roman" w:eastAsia="Times New Roman" w:hAnsi="Times New Roman" w:cs="Times New Roman"/>
                <w:color w:val="000000"/>
                <w:sz w:val="14"/>
                <w:lang w:val="en-US"/>
              </w:rPr>
            </w:pPr>
            <w:r w:rsidRPr="004D60D8">
              <w:rPr>
                <w:rFonts w:ascii="Times New Roman" w:eastAsia="Times New Roman" w:hAnsi="Times New Roman" w:cs="Times New Roman"/>
                <w:color w:val="000000"/>
                <w:sz w:val="14"/>
                <w:lang w:val="en-US"/>
              </w:rPr>
              <w:t>0.81%</w:t>
            </w:r>
          </w:p>
        </w:tc>
      </w:tr>
    </w:tbl>
    <w:p w14:paraId="1456BD34" w14:textId="5EA52DF5" w:rsidR="006E6FF6" w:rsidRPr="00415046" w:rsidRDefault="006E6FF6" w:rsidP="007E2130">
      <w:pPr>
        <w:spacing w:line="240" w:lineRule="auto"/>
        <w:rPr>
          <w:rFonts w:ascii="Times New Roman" w:hAnsi="Times New Roman" w:cs="Times New Roman"/>
        </w:rPr>
      </w:pPr>
    </w:p>
    <w:p w14:paraId="573446EA" w14:textId="77777777" w:rsidR="00224A57" w:rsidRPr="00415046" w:rsidRDefault="00224A57" w:rsidP="007E2130">
      <w:pPr>
        <w:spacing w:line="240" w:lineRule="auto"/>
        <w:rPr>
          <w:rFonts w:ascii="Times New Roman" w:hAnsi="Times New Roman" w:cs="Times New Roman"/>
        </w:rPr>
        <w:sectPr w:rsidR="00224A57" w:rsidRPr="00415046" w:rsidSect="00224A57">
          <w:pgSz w:w="15840" w:h="12240" w:orient="landscape"/>
          <w:pgMar w:top="1440" w:right="1440" w:bottom="1440" w:left="1440" w:header="720" w:footer="720" w:gutter="0"/>
          <w:cols w:space="720"/>
          <w:docGrid w:linePitch="360"/>
        </w:sectPr>
      </w:pPr>
    </w:p>
    <w:p w14:paraId="3B5DFAC1" w14:textId="03FD5A7F" w:rsidR="00291D8A" w:rsidRPr="00415046" w:rsidRDefault="00DB2938" w:rsidP="007E2130">
      <w:pPr>
        <w:spacing w:line="240" w:lineRule="auto"/>
        <w:rPr>
          <w:rFonts w:ascii="Times New Roman" w:hAnsi="Times New Roman" w:cs="Times New Roman"/>
        </w:rPr>
      </w:pPr>
      <w:r w:rsidRPr="00415046">
        <w:rPr>
          <w:rFonts w:ascii="Times New Roman" w:hAnsi="Times New Roman" w:cs="Times New Roman"/>
          <w:noProof/>
        </w:rPr>
        <w:lastRenderedPageBreak/>
        <w:drawing>
          <wp:inline distT="0" distB="0" distL="0" distR="0" wp14:anchorId="298564B3" wp14:editId="518BC111">
            <wp:extent cx="5943600" cy="3136900"/>
            <wp:effectExtent l="0" t="0" r="0" b="635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EC067FC" w14:textId="4E24838F" w:rsidR="005B12BC" w:rsidRPr="00CB2BA3" w:rsidRDefault="00CB2BA3" w:rsidP="00CB2BA3">
      <w:pPr>
        <w:pStyle w:val="Caption"/>
        <w:rPr>
          <w:rFonts w:ascii="Times New Roman" w:hAnsi="Times New Roman" w:cs="Times New Roman"/>
          <w:color w:val="auto"/>
          <w:sz w:val="22"/>
        </w:rPr>
      </w:pPr>
      <w:bookmarkStart w:id="11" w:name="_Toc164699843"/>
      <w:r w:rsidRPr="00CB2BA3">
        <w:rPr>
          <w:rFonts w:ascii="Times New Roman" w:hAnsi="Times New Roman" w:cs="Times New Roman"/>
          <w:color w:val="auto"/>
          <w:sz w:val="22"/>
        </w:rPr>
        <w:t>Figure S</w:t>
      </w:r>
      <w:r w:rsidRPr="00CB2BA3">
        <w:rPr>
          <w:rFonts w:ascii="Times New Roman" w:hAnsi="Times New Roman" w:cs="Times New Roman"/>
          <w:color w:val="auto"/>
          <w:sz w:val="22"/>
        </w:rPr>
        <w:fldChar w:fldCharType="begin"/>
      </w:r>
      <w:r w:rsidRPr="00CB2BA3">
        <w:rPr>
          <w:rFonts w:ascii="Times New Roman" w:hAnsi="Times New Roman" w:cs="Times New Roman"/>
          <w:color w:val="auto"/>
          <w:sz w:val="22"/>
        </w:rPr>
        <w:instrText xml:space="preserve"> SEQ Figure \* ARABIC </w:instrText>
      </w:r>
      <w:r w:rsidRPr="00CB2BA3">
        <w:rPr>
          <w:rFonts w:ascii="Times New Roman" w:hAnsi="Times New Roman" w:cs="Times New Roman"/>
          <w:color w:val="auto"/>
          <w:sz w:val="22"/>
        </w:rPr>
        <w:fldChar w:fldCharType="separate"/>
      </w:r>
      <w:r w:rsidR="004A6504">
        <w:rPr>
          <w:rFonts w:ascii="Times New Roman" w:hAnsi="Times New Roman" w:cs="Times New Roman"/>
          <w:noProof/>
          <w:color w:val="auto"/>
          <w:sz w:val="22"/>
        </w:rPr>
        <w:t>1</w:t>
      </w:r>
      <w:r w:rsidRPr="00CB2BA3">
        <w:rPr>
          <w:rFonts w:ascii="Times New Roman" w:hAnsi="Times New Roman" w:cs="Times New Roman"/>
          <w:color w:val="auto"/>
          <w:sz w:val="22"/>
        </w:rPr>
        <w:fldChar w:fldCharType="end"/>
      </w:r>
      <w:r w:rsidRPr="00CB2BA3">
        <w:rPr>
          <w:rFonts w:ascii="Times New Roman" w:hAnsi="Times New Roman" w:cs="Times New Roman"/>
          <w:color w:val="auto"/>
          <w:sz w:val="22"/>
        </w:rPr>
        <w:t xml:space="preserve"> | Distribution of error from scaling equation. Distribution of error in LCOS resulting from applying the storage facility scaling equation. Error reflects the net change compared with the LCOS derived from the approach described in Note 1.</w:t>
      </w:r>
      <w:bookmarkEnd w:id="11"/>
    </w:p>
    <w:p w14:paraId="671B85FC" w14:textId="75B4E5F3" w:rsidR="00E91287" w:rsidRPr="00415046" w:rsidRDefault="00C810D4" w:rsidP="007E2130">
      <w:pPr>
        <w:spacing w:line="240" w:lineRule="auto"/>
        <w:rPr>
          <w:rFonts w:ascii="Times New Roman" w:hAnsi="Times New Roman" w:cs="Times New Roman"/>
        </w:rPr>
      </w:pPr>
      <w:r w:rsidRPr="00415046">
        <w:rPr>
          <w:rFonts w:ascii="Times New Roman" w:hAnsi="Times New Roman" w:cs="Times New Roman"/>
        </w:rPr>
        <w:t>Using the scaling equation, we see that the LCOS increases with hydrogenation capacity (x-axis) and decreases with the fraction of produced hydrogen entering storage (e.g. 10%, 25%, 50%) while weighted LCOH is relatively unaffected by hydrogenation capacity and increases with fraction of produced hydrogen stored.</w:t>
      </w:r>
    </w:p>
    <w:p w14:paraId="6E4A18B1" w14:textId="48E7A415" w:rsidR="005B12BC" w:rsidRPr="00415046" w:rsidRDefault="009E3FDC" w:rsidP="007E2130">
      <w:pPr>
        <w:spacing w:line="240" w:lineRule="auto"/>
        <w:rPr>
          <w:rFonts w:ascii="Times New Roman" w:hAnsi="Times New Roman" w:cs="Times New Roman"/>
        </w:rPr>
      </w:pPr>
      <w:r w:rsidRPr="00415046">
        <w:rPr>
          <w:rFonts w:ascii="Times New Roman" w:hAnsi="Times New Roman" w:cs="Times New Roman"/>
          <w:noProof/>
        </w:rPr>
        <w:t xml:space="preserve"> </w:t>
      </w:r>
      <w:r w:rsidRPr="00415046">
        <w:rPr>
          <w:rFonts w:ascii="Times New Roman" w:hAnsi="Times New Roman" w:cs="Times New Roman"/>
          <w:noProof/>
        </w:rPr>
        <w:drawing>
          <wp:inline distT="0" distB="0" distL="0" distR="0" wp14:anchorId="4BDA96E5" wp14:editId="1822B60B">
            <wp:extent cx="5943600" cy="3197063"/>
            <wp:effectExtent l="0" t="0" r="0" b="3810"/>
            <wp:docPr id="1" name="Chart 1">
              <a:extLst xmlns:a="http://schemas.openxmlformats.org/drawingml/2006/main">
                <a:ext uri="{FF2B5EF4-FFF2-40B4-BE49-F238E27FC236}">
                  <a16:creationId xmlns:a16="http://schemas.microsoft.com/office/drawing/2014/main" id="{0B1CE2A6-ACBF-484D-A356-A1400D4FD1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E9DB089" w14:textId="4CB8B768" w:rsidR="00CB2BA3" w:rsidRPr="00CB2BA3" w:rsidRDefault="00CB2BA3" w:rsidP="00CB2BA3">
      <w:pPr>
        <w:pStyle w:val="Caption"/>
        <w:rPr>
          <w:rFonts w:ascii="Times New Roman" w:hAnsi="Times New Roman" w:cs="Times New Roman"/>
          <w:color w:val="auto"/>
          <w:sz w:val="22"/>
        </w:rPr>
      </w:pPr>
      <w:bookmarkStart w:id="12" w:name="_Toc164699844"/>
      <w:r w:rsidRPr="00CB2BA3">
        <w:rPr>
          <w:rFonts w:ascii="Times New Roman" w:hAnsi="Times New Roman" w:cs="Times New Roman"/>
          <w:color w:val="auto"/>
          <w:sz w:val="22"/>
        </w:rPr>
        <w:t>Figure S</w:t>
      </w:r>
      <w:r w:rsidRPr="00CB2BA3">
        <w:rPr>
          <w:rFonts w:ascii="Times New Roman" w:hAnsi="Times New Roman" w:cs="Times New Roman"/>
          <w:color w:val="auto"/>
          <w:sz w:val="22"/>
        </w:rPr>
        <w:fldChar w:fldCharType="begin"/>
      </w:r>
      <w:r w:rsidRPr="00CB2BA3">
        <w:rPr>
          <w:rFonts w:ascii="Times New Roman" w:hAnsi="Times New Roman" w:cs="Times New Roman"/>
          <w:color w:val="auto"/>
          <w:sz w:val="22"/>
        </w:rPr>
        <w:instrText xml:space="preserve"> SEQ Figure \* ARABIC </w:instrText>
      </w:r>
      <w:r w:rsidRPr="00CB2BA3">
        <w:rPr>
          <w:rFonts w:ascii="Times New Roman" w:hAnsi="Times New Roman" w:cs="Times New Roman"/>
          <w:color w:val="auto"/>
          <w:sz w:val="22"/>
        </w:rPr>
        <w:fldChar w:fldCharType="separate"/>
      </w:r>
      <w:r w:rsidR="004A6504">
        <w:rPr>
          <w:rFonts w:ascii="Times New Roman" w:hAnsi="Times New Roman" w:cs="Times New Roman"/>
          <w:noProof/>
          <w:color w:val="auto"/>
          <w:sz w:val="22"/>
        </w:rPr>
        <w:t>2</w:t>
      </w:r>
      <w:r w:rsidRPr="00CB2BA3">
        <w:rPr>
          <w:rFonts w:ascii="Times New Roman" w:hAnsi="Times New Roman" w:cs="Times New Roman"/>
          <w:color w:val="auto"/>
          <w:sz w:val="22"/>
        </w:rPr>
        <w:fldChar w:fldCharType="end"/>
      </w:r>
      <w:r w:rsidRPr="00CB2BA3">
        <w:rPr>
          <w:rFonts w:ascii="Times New Roman" w:hAnsi="Times New Roman" w:cs="Times New Roman"/>
          <w:color w:val="auto"/>
          <w:sz w:val="22"/>
        </w:rPr>
        <w:t xml:space="preserve"> | Performance of TOL/MCH storage for exemplary location in Texas. Storage system is fixed at 200 TPD dehydrogenation capacity, and maximum storage of 3,000 tonnes, for a steel end user.</w:t>
      </w:r>
      <w:bookmarkEnd w:id="12"/>
    </w:p>
    <w:p w14:paraId="36372D22" w14:textId="153B882F" w:rsidR="006E6E92" w:rsidRPr="00415046" w:rsidRDefault="00517E88" w:rsidP="00415046">
      <w:pPr>
        <w:pStyle w:val="Heading1"/>
        <w:rPr>
          <w:rFonts w:ascii="Times New Roman" w:hAnsi="Times New Roman" w:cs="Times New Roman"/>
          <w:b/>
          <w:color w:val="auto"/>
          <w:sz w:val="22"/>
          <w:szCs w:val="22"/>
        </w:rPr>
      </w:pPr>
      <w:bookmarkStart w:id="13" w:name="_Toc164699839"/>
      <w:r w:rsidRPr="00415046">
        <w:rPr>
          <w:rFonts w:ascii="Times New Roman" w:hAnsi="Times New Roman" w:cs="Times New Roman"/>
          <w:b/>
          <w:color w:val="auto"/>
          <w:sz w:val="22"/>
          <w:szCs w:val="22"/>
        </w:rPr>
        <w:lastRenderedPageBreak/>
        <w:t xml:space="preserve">Note 4: </w:t>
      </w:r>
      <w:r w:rsidR="00106398" w:rsidRPr="00415046">
        <w:rPr>
          <w:rFonts w:ascii="Times New Roman" w:hAnsi="Times New Roman" w:cs="Times New Roman"/>
          <w:b/>
          <w:color w:val="auto"/>
          <w:sz w:val="22"/>
          <w:szCs w:val="22"/>
        </w:rPr>
        <w:t xml:space="preserve">Alternative </w:t>
      </w:r>
      <w:r w:rsidR="00DF0E7D" w:rsidRPr="00415046">
        <w:rPr>
          <w:rFonts w:ascii="Times New Roman" w:hAnsi="Times New Roman" w:cs="Times New Roman"/>
          <w:b/>
          <w:color w:val="auto"/>
          <w:sz w:val="22"/>
          <w:szCs w:val="22"/>
        </w:rPr>
        <w:t>s</w:t>
      </w:r>
      <w:r w:rsidR="00106398" w:rsidRPr="00415046">
        <w:rPr>
          <w:rFonts w:ascii="Times New Roman" w:hAnsi="Times New Roman" w:cs="Times New Roman"/>
          <w:b/>
          <w:color w:val="auto"/>
          <w:sz w:val="22"/>
          <w:szCs w:val="22"/>
        </w:rPr>
        <w:t xml:space="preserve">torage </w:t>
      </w:r>
      <w:r w:rsidR="00DF0E7D" w:rsidRPr="00415046">
        <w:rPr>
          <w:rFonts w:ascii="Times New Roman" w:hAnsi="Times New Roman" w:cs="Times New Roman"/>
          <w:b/>
          <w:color w:val="auto"/>
          <w:sz w:val="22"/>
          <w:szCs w:val="22"/>
        </w:rPr>
        <w:t>t</w:t>
      </w:r>
      <w:r w:rsidR="00106398" w:rsidRPr="00415046">
        <w:rPr>
          <w:rFonts w:ascii="Times New Roman" w:hAnsi="Times New Roman" w:cs="Times New Roman"/>
          <w:b/>
          <w:color w:val="auto"/>
          <w:sz w:val="22"/>
          <w:szCs w:val="22"/>
        </w:rPr>
        <w:t>echnologies</w:t>
      </w:r>
      <w:bookmarkEnd w:id="13"/>
    </w:p>
    <w:p w14:paraId="10A563C9" w14:textId="5F1C2754" w:rsidR="00106398" w:rsidRPr="00415046" w:rsidRDefault="006E6E92" w:rsidP="007E2130">
      <w:pPr>
        <w:spacing w:line="240" w:lineRule="auto"/>
        <w:rPr>
          <w:rFonts w:ascii="Times New Roman" w:hAnsi="Times New Roman" w:cs="Times New Roman"/>
        </w:rPr>
      </w:pPr>
      <w:r w:rsidRPr="00415046">
        <w:rPr>
          <w:rFonts w:ascii="Times New Roman" w:hAnsi="Times New Roman" w:cs="Times New Roman"/>
        </w:rPr>
        <w:t>Once H</w:t>
      </w:r>
      <w:r w:rsidRPr="00415046">
        <w:rPr>
          <w:rFonts w:ascii="Times New Roman" w:hAnsi="Times New Roman" w:cs="Times New Roman"/>
          <w:vertAlign w:val="subscript"/>
        </w:rPr>
        <w:t>2</w:t>
      </w:r>
      <w:r w:rsidRPr="00415046">
        <w:rPr>
          <w:rFonts w:ascii="Times New Roman" w:hAnsi="Times New Roman" w:cs="Times New Roman"/>
        </w:rPr>
        <w:t xml:space="preserve"> is produced, the conventional </w:t>
      </w:r>
      <w:r w:rsidR="00224A57" w:rsidRPr="00415046">
        <w:rPr>
          <w:rFonts w:ascii="Times New Roman" w:hAnsi="Times New Roman" w:cs="Times New Roman"/>
        </w:rPr>
        <w:t>H</w:t>
      </w:r>
      <w:r w:rsidR="00224A57" w:rsidRPr="00415046">
        <w:rPr>
          <w:rFonts w:ascii="Times New Roman" w:hAnsi="Times New Roman" w:cs="Times New Roman"/>
          <w:vertAlign w:val="subscript"/>
        </w:rPr>
        <w:t>2</w:t>
      </w:r>
      <w:r w:rsidRPr="00415046">
        <w:rPr>
          <w:rFonts w:ascii="Times New Roman" w:hAnsi="Times New Roman" w:cs="Times New Roman"/>
        </w:rPr>
        <w:t xml:space="preserve"> liquefaction process follows the following three steps: compression, cooling and expansion. First, the </w:t>
      </w:r>
      <w:r w:rsidR="00224A57" w:rsidRPr="00415046">
        <w:rPr>
          <w:rFonts w:ascii="Times New Roman" w:hAnsi="Times New Roman" w:cs="Times New Roman"/>
        </w:rPr>
        <w:t>H</w:t>
      </w:r>
      <w:r w:rsidR="00224A57" w:rsidRPr="00415046">
        <w:rPr>
          <w:rFonts w:ascii="Times New Roman" w:hAnsi="Times New Roman" w:cs="Times New Roman"/>
          <w:vertAlign w:val="subscript"/>
        </w:rPr>
        <w:t>2</w:t>
      </w:r>
      <w:r w:rsidRPr="00415046">
        <w:rPr>
          <w:rFonts w:ascii="Times New Roman" w:hAnsi="Times New Roman" w:cs="Times New Roman"/>
        </w:rPr>
        <w:t xml:space="preserve"> is cooled to below its inversion temperature, 80 K, which employs the Claude cycle with a liquid nitrogen bath and a heat exchanger. Subsequently, the </w:t>
      </w:r>
      <w:r w:rsidR="00224A57" w:rsidRPr="00415046">
        <w:rPr>
          <w:rFonts w:ascii="Times New Roman" w:hAnsi="Times New Roman" w:cs="Times New Roman"/>
        </w:rPr>
        <w:t>H</w:t>
      </w:r>
      <w:r w:rsidR="00224A57" w:rsidRPr="00415046">
        <w:rPr>
          <w:rFonts w:ascii="Times New Roman" w:hAnsi="Times New Roman" w:cs="Times New Roman"/>
          <w:vertAlign w:val="subscript"/>
        </w:rPr>
        <w:t>2</w:t>
      </w:r>
      <w:r w:rsidRPr="00415046">
        <w:rPr>
          <w:rFonts w:ascii="Times New Roman" w:hAnsi="Times New Roman" w:cs="Times New Roman"/>
        </w:rPr>
        <w:t xml:space="preserve"> is further cooled and ultimately liquefied to 20 K through the Joule-Thomson expansion process.</w:t>
      </w:r>
    </w:p>
    <w:p w14:paraId="1F45910D" w14:textId="26D215F3" w:rsidR="006E6E92" w:rsidRPr="00415046" w:rsidRDefault="006E6E92" w:rsidP="007E2130">
      <w:pPr>
        <w:spacing w:line="240" w:lineRule="auto"/>
        <w:rPr>
          <w:rFonts w:ascii="Times New Roman" w:hAnsi="Times New Roman" w:cs="Times New Roman"/>
        </w:rPr>
      </w:pPr>
    </w:p>
    <w:p w14:paraId="64A0D348" w14:textId="1157699D" w:rsidR="006E6E92" w:rsidRPr="00415046" w:rsidRDefault="006E6E92" w:rsidP="007E2130">
      <w:pPr>
        <w:spacing w:line="240" w:lineRule="auto"/>
        <w:rPr>
          <w:rFonts w:ascii="Times New Roman" w:hAnsi="Times New Roman" w:cs="Times New Roman"/>
          <w:bCs/>
        </w:rPr>
      </w:pPr>
      <w:r w:rsidRPr="00415046">
        <w:rPr>
          <w:rFonts w:ascii="Times New Roman" w:hAnsi="Times New Roman" w:cs="Times New Roman"/>
          <w:bCs/>
        </w:rPr>
        <w:t>Liquefaction is a capital and energy demanding process. The total cost of H</w:t>
      </w:r>
      <w:r w:rsidRPr="00415046">
        <w:rPr>
          <w:rFonts w:ascii="Times New Roman" w:hAnsi="Times New Roman" w:cs="Times New Roman"/>
          <w:bCs/>
          <w:vertAlign w:val="subscript"/>
        </w:rPr>
        <w:t>2</w:t>
      </w:r>
      <w:r w:rsidRPr="00415046">
        <w:rPr>
          <w:rFonts w:ascii="Times New Roman" w:hAnsi="Times New Roman" w:cs="Times New Roman"/>
          <w:bCs/>
        </w:rPr>
        <w:t xml:space="preserve"> liquefaction plant facilities in current markets, likely including </w:t>
      </w:r>
      <w:r w:rsidR="00593E5D" w:rsidRPr="00415046">
        <w:rPr>
          <w:rFonts w:ascii="Times New Roman" w:hAnsi="Times New Roman" w:cs="Times New Roman"/>
          <w:bCs/>
        </w:rPr>
        <w:t>steam methane reforming (</w:t>
      </w:r>
      <w:r w:rsidRPr="00415046">
        <w:rPr>
          <w:rFonts w:ascii="Times New Roman" w:hAnsi="Times New Roman" w:cs="Times New Roman"/>
          <w:bCs/>
        </w:rPr>
        <w:t>SMR</w:t>
      </w:r>
      <w:r w:rsidR="00593E5D" w:rsidRPr="00415046">
        <w:rPr>
          <w:rFonts w:ascii="Times New Roman" w:hAnsi="Times New Roman" w:cs="Times New Roman"/>
          <w:bCs/>
        </w:rPr>
        <w:t>)</w:t>
      </w:r>
      <w:r w:rsidRPr="00415046">
        <w:rPr>
          <w:rFonts w:ascii="Times New Roman" w:hAnsi="Times New Roman" w:cs="Times New Roman"/>
          <w:bCs/>
        </w:rPr>
        <w:t>, is estimated to range from $50 million to $800 million for capacities ranging from 6,000 kg/day to 200,000 kg/day, respectively. The energy demand for liquefaction of the biggest plants is ~10-12 kWh/kg-H</w:t>
      </w:r>
      <w:r w:rsidRPr="00415046">
        <w:rPr>
          <w:rFonts w:ascii="Times New Roman" w:hAnsi="Times New Roman" w:cs="Times New Roman"/>
          <w:bCs/>
          <w:vertAlign w:val="subscript"/>
        </w:rPr>
        <w:t>2</w:t>
      </w:r>
      <w:r w:rsidRPr="00415046">
        <w:rPr>
          <w:rFonts w:ascii="Times New Roman" w:hAnsi="Times New Roman" w:cs="Times New Roman"/>
          <w:bCs/>
        </w:rPr>
        <w:t xml:space="preserve"> (a third of the lower heating value of H</w:t>
      </w:r>
      <w:r w:rsidRPr="00415046">
        <w:rPr>
          <w:rFonts w:ascii="Times New Roman" w:hAnsi="Times New Roman" w:cs="Times New Roman"/>
          <w:bCs/>
          <w:vertAlign w:val="subscript"/>
        </w:rPr>
        <w:t>2</w:t>
      </w:r>
      <w:r w:rsidRPr="00415046">
        <w:rPr>
          <w:rFonts w:ascii="Times New Roman" w:hAnsi="Times New Roman" w:cs="Times New Roman"/>
          <w:bCs/>
        </w:rPr>
        <w:t>). Using the Hydrogen Delivery Scenario Analysis Model (HDSAM),</w:t>
      </w:r>
      <w:r w:rsidR="00224A57" w:rsidRPr="00415046">
        <w:rPr>
          <w:rFonts w:ascii="Times New Roman" w:hAnsi="Times New Roman" w:cs="Times New Roman"/>
          <w:bCs/>
        </w:rPr>
        <w:fldChar w:fldCharType="begin" w:fldLock="1"/>
      </w:r>
      <w:r w:rsidR="00A11F5F" w:rsidRPr="00415046">
        <w:rPr>
          <w:rFonts w:ascii="Times New Roman" w:hAnsi="Times New Roman" w:cs="Times New Roman"/>
          <w:bCs/>
        </w:rPr>
        <w:instrText>ADDIN CSL_CITATION {"citationItems":[{"id":"ITEM-1","itemData":{"author":[{"dropping-particle":"","family":"Argonne National Laboratory","given":"","non-dropping-particle":"","parse-names":false,"suffix":""}],"id":"ITEM-1","issued":{"date-parts":[["0"]]},"title":"Hydrogen Delivery Scenario Analysis Model (HDSAM)","type":"webpage"},"uris":["http://www.mendeley.com/documents/?uuid=23f1da34-48d6-4e1f-a8bb-bb2d8032cc36"]}],"mendeley":{"formattedCitation":"&lt;sup&gt;5&lt;/sup&gt;","plainTextFormattedCitation":"5","previouslyFormattedCitation":"&lt;sup&gt;5&lt;/sup&gt;"},"properties":{"noteIndex":0},"schema":"https://github.com/citation-style-language/schema/raw/master/csl-citation.json"}</w:instrText>
      </w:r>
      <w:r w:rsidR="00224A57" w:rsidRPr="00415046">
        <w:rPr>
          <w:rFonts w:ascii="Times New Roman" w:hAnsi="Times New Roman" w:cs="Times New Roman"/>
          <w:bCs/>
        </w:rPr>
        <w:fldChar w:fldCharType="separate"/>
      </w:r>
      <w:r w:rsidR="00CF0BB2" w:rsidRPr="00415046">
        <w:rPr>
          <w:rFonts w:ascii="Times New Roman" w:hAnsi="Times New Roman" w:cs="Times New Roman"/>
          <w:bCs/>
          <w:noProof/>
          <w:vertAlign w:val="superscript"/>
        </w:rPr>
        <w:t>5</w:t>
      </w:r>
      <w:r w:rsidR="00224A57" w:rsidRPr="00415046">
        <w:rPr>
          <w:rFonts w:ascii="Times New Roman" w:hAnsi="Times New Roman" w:cs="Times New Roman"/>
          <w:bCs/>
        </w:rPr>
        <w:fldChar w:fldCharType="end"/>
      </w:r>
      <w:r w:rsidRPr="00415046">
        <w:rPr>
          <w:rFonts w:ascii="Times New Roman" w:hAnsi="Times New Roman" w:cs="Times New Roman"/>
          <w:bCs/>
        </w:rPr>
        <w:t xml:space="preserve"> we evaluated the capital cost for liquefaction plant as function of size as well as cryogenic storage (based on spherical vessels). Figure S3 below shows the capital costs for </w:t>
      </w:r>
      <w:r w:rsidR="00593E5D" w:rsidRPr="00415046">
        <w:rPr>
          <w:rFonts w:ascii="Times New Roman" w:hAnsi="Times New Roman" w:cs="Times New Roman"/>
          <w:bCs/>
        </w:rPr>
        <w:t xml:space="preserve">cryogenic </w:t>
      </w:r>
      <w:r w:rsidRPr="00415046">
        <w:rPr>
          <w:rFonts w:ascii="Times New Roman" w:hAnsi="Times New Roman" w:cs="Times New Roman"/>
          <w:bCs/>
        </w:rPr>
        <w:t>storage and liquefaction plants.</w:t>
      </w:r>
    </w:p>
    <w:p w14:paraId="40FCEC28" w14:textId="41FC7ECB" w:rsidR="006E6E92" w:rsidRPr="00415046" w:rsidRDefault="006E6E92" w:rsidP="007E2130">
      <w:pPr>
        <w:spacing w:line="240" w:lineRule="auto"/>
        <w:rPr>
          <w:rFonts w:ascii="Times New Roman" w:hAnsi="Times New Roman" w:cs="Times New Roman"/>
          <w:bCs/>
        </w:rPr>
      </w:pPr>
    </w:p>
    <w:p w14:paraId="1D590DF5" w14:textId="77777777" w:rsidR="006E6E92" w:rsidRPr="00415046" w:rsidRDefault="006E6E92" w:rsidP="007E2130">
      <w:pPr>
        <w:spacing w:line="240" w:lineRule="auto"/>
        <w:jc w:val="both"/>
        <w:rPr>
          <w:rFonts w:ascii="Times New Roman" w:hAnsi="Times New Roman" w:cs="Times New Roman"/>
          <w:bCs/>
        </w:rPr>
      </w:pPr>
      <w:r w:rsidRPr="00415046">
        <w:rPr>
          <w:rFonts w:ascii="Times New Roman" w:hAnsi="Times New Roman" w:cs="Times New Roman"/>
          <w:noProof/>
          <w:lang w:val="en-US"/>
        </w:rPr>
        <w:drawing>
          <wp:inline distT="0" distB="0" distL="0" distR="0" wp14:anchorId="4DA95EFC" wp14:editId="75ADCFF9">
            <wp:extent cx="5943600" cy="1957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957705"/>
                    </a:xfrm>
                    <a:prstGeom prst="rect">
                      <a:avLst/>
                    </a:prstGeom>
                    <a:noFill/>
                    <a:ln>
                      <a:noFill/>
                    </a:ln>
                  </pic:spPr>
                </pic:pic>
              </a:graphicData>
            </a:graphic>
          </wp:inline>
        </w:drawing>
      </w:r>
    </w:p>
    <w:p w14:paraId="7C791F0E" w14:textId="5C9F9822" w:rsidR="006E6E92" w:rsidRPr="00CB2BA3" w:rsidRDefault="00CB2BA3" w:rsidP="00CB2BA3">
      <w:pPr>
        <w:pStyle w:val="Caption"/>
        <w:rPr>
          <w:rFonts w:ascii="Times New Roman" w:hAnsi="Times New Roman" w:cs="Times New Roman"/>
          <w:bCs/>
          <w:iCs w:val="0"/>
          <w:color w:val="auto"/>
          <w:sz w:val="22"/>
          <w:szCs w:val="22"/>
        </w:rPr>
      </w:pPr>
      <w:bookmarkStart w:id="14" w:name="_Toc164699845"/>
      <w:r w:rsidRPr="00CB2BA3">
        <w:rPr>
          <w:rFonts w:ascii="Times New Roman" w:hAnsi="Times New Roman" w:cs="Times New Roman"/>
          <w:color w:val="auto"/>
          <w:sz w:val="22"/>
          <w:szCs w:val="22"/>
        </w:rPr>
        <w:t>Figure S</w:t>
      </w:r>
      <w:r w:rsidRPr="00CB2BA3">
        <w:rPr>
          <w:rFonts w:ascii="Times New Roman" w:hAnsi="Times New Roman" w:cs="Times New Roman"/>
          <w:color w:val="auto"/>
          <w:sz w:val="22"/>
          <w:szCs w:val="22"/>
        </w:rPr>
        <w:fldChar w:fldCharType="begin"/>
      </w:r>
      <w:r w:rsidRPr="00CB2BA3">
        <w:rPr>
          <w:rFonts w:ascii="Times New Roman" w:hAnsi="Times New Roman" w:cs="Times New Roman"/>
          <w:color w:val="auto"/>
          <w:sz w:val="22"/>
          <w:szCs w:val="22"/>
        </w:rPr>
        <w:instrText xml:space="preserve"> SEQ Figure \* ARABIC </w:instrText>
      </w:r>
      <w:r w:rsidRPr="00CB2BA3">
        <w:rPr>
          <w:rFonts w:ascii="Times New Roman" w:hAnsi="Times New Roman" w:cs="Times New Roman"/>
          <w:color w:val="auto"/>
          <w:sz w:val="22"/>
          <w:szCs w:val="22"/>
        </w:rPr>
        <w:fldChar w:fldCharType="separate"/>
      </w:r>
      <w:r w:rsidR="004A6504">
        <w:rPr>
          <w:rFonts w:ascii="Times New Roman" w:hAnsi="Times New Roman" w:cs="Times New Roman"/>
          <w:noProof/>
          <w:color w:val="auto"/>
          <w:sz w:val="22"/>
          <w:szCs w:val="22"/>
        </w:rPr>
        <w:t>3</w:t>
      </w:r>
      <w:r w:rsidRPr="00CB2BA3">
        <w:rPr>
          <w:rFonts w:ascii="Times New Roman" w:hAnsi="Times New Roman" w:cs="Times New Roman"/>
          <w:color w:val="auto"/>
          <w:sz w:val="22"/>
          <w:szCs w:val="22"/>
        </w:rPr>
        <w:fldChar w:fldCharType="end"/>
      </w:r>
      <w:r w:rsidRPr="00CB2BA3">
        <w:rPr>
          <w:rFonts w:ascii="Times New Roman" w:hAnsi="Times New Roman" w:cs="Times New Roman"/>
          <w:color w:val="auto"/>
          <w:sz w:val="22"/>
          <w:szCs w:val="22"/>
        </w:rPr>
        <w:t xml:space="preserve"> | Capital cost for cryogenic storage and liquefaction plants.</w:t>
      </w:r>
      <w:bookmarkEnd w:id="14"/>
    </w:p>
    <w:p w14:paraId="662FFEAD" w14:textId="5A4A312D" w:rsidR="006E6E92" w:rsidRPr="00415046" w:rsidRDefault="006E6E92" w:rsidP="007E2130">
      <w:pPr>
        <w:spacing w:line="240" w:lineRule="auto"/>
        <w:rPr>
          <w:rFonts w:ascii="Times New Roman" w:hAnsi="Times New Roman" w:cs="Times New Roman"/>
        </w:rPr>
      </w:pPr>
    </w:p>
    <w:p w14:paraId="1499E3D1" w14:textId="06C7D7BC" w:rsidR="006E6E92" w:rsidRPr="00415046" w:rsidRDefault="006E6E92" w:rsidP="007E2130">
      <w:pPr>
        <w:spacing w:line="240" w:lineRule="auto"/>
        <w:jc w:val="both"/>
        <w:rPr>
          <w:rFonts w:ascii="Times New Roman" w:hAnsi="Times New Roman" w:cs="Times New Roman"/>
          <w:bCs/>
        </w:rPr>
      </w:pPr>
      <w:r w:rsidRPr="00415046">
        <w:rPr>
          <w:rFonts w:ascii="Times New Roman" w:hAnsi="Times New Roman" w:cs="Times New Roman"/>
          <w:bCs/>
        </w:rPr>
        <w:t>HDSAM assumes that the single largest unit train of the liquefier can be scaled up to 200,000 kg/day. No plant has been built so far at such high capacity. However, we find the cost per capacity decreases by 14% from 50,000 to 100,000 kg/day, but only by 8% from 100,000 to 150,000 kg/day. Similarly, the cost of H</w:t>
      </w:r>
      <w:r w:rsidRPr="00415046">
        <w:rPr>
          <w:rFonts w:ascii="Times New Roman" w:hAnsi="Times New Roman" w:cs="Times New Roman"/>
          <w:bCs/>
          <w:vertAlign w:val="subscript"/>
        </w:rPr>
        <w:t>2</w:t>
      </w:r>
      <w:r w:rsidRPr="00415046">
        <w:rPr>
          <w:rFonts w:ascii="Times New Roman" w:hAnsi="Times New Roman" w:cs="Times New Roman"/>
          <w:bCs/>
        </w:rPr>
        <w:t xml:space="preserve"> storage shows economy of size as the cost per volume of storage decreases with increasing water volume capacity. HDSAM assumes that the largest tank capacity is 10,000 m</w:t>
      </w:r>
      <w:r w:rsidRPr="00415046">
        <w:rPr>
          <w:rFonts w:ascii="Times New Roman" w:hAnsi="Times New Roman" w:cs="Times New Roman"/>
          <w:bCs/>
          <w:vertAlign w:val="superscript"/>
        </w:rPr>
        <w:t>3</w:t>
      </w:r>
      <w:r w:rsidRPr="00415046">
        <w:rPr>
          <w:rFonts w:ascii="Times New Roman" w:hAnsi="Times New Roman" w:cs="Times New Roman"/>
          <w:bCs/>
        </w:rPr>
        <w:t>. This is a reasonable approximation, as the balance of plant components (piping, vaporizer, pump) only represent 2% of the total storage cost at large capacities. Furthermore, larger tanks would not necessarily provide any cost benefit as the cost levels of</w:t>
      </w:r>
      <w:r w:rsidR="006746B6" w:rsidRPr="00415046">
        <w:rPr>
          <w:rFonts w:ascii="Times New Roman" w:hAnsi="Times New Roman" w:cs="Times New Roman"/>
          <w:bCs/>
        </w:rPr>
        <w:t>f</w:t>
      </w:r>
      <w:r w:rsidRPr="00415046">
        <w:rPr>
          <w:rFonts w:ascii="Times New Roman" w:hAnsi="Times New Roman" w:cs="Times New Roman"/>
          <w:bCs/>
        </w:rPr>
        <w:t xml:space="preserve"> above 4,000 m</w:t>
      </w:r>
      <w:r w:rsidRPr="00415046">
        <w:rPr>
          <w:rFonts w:ascii="Times New Roman" w:hAnsi="Times New Roman" w:cs="Times New Roman"/>
          <w:bCs/>
          <w:vertAlign w:val="superscript"/>
        </w:rPr>
        <w:t>3</w:t>
      </w:r>
      <w:r w:rsidRPr="00415046">
        <w:rPr>
          <w:rFonts w:ascii="Times New Roman" w:hAnsi="Times New Roman" w:cs="Times New Roman"/>
          <w:bCs/>
        </w:rPr>
        <w:t xml:space="preserve">. </w:t>
      </w:r>
    </w:p>
    <w:p w14:paraId="6EC58DC8" w14:textId="77777777" w:rsidR="006E6E92" w:rsidRPr="00415046" w:rsidRDefault="006E6E92" w:rsidP="007E2130">
      <w:pPr>
        <w:spacing w:line="240" w:lineRule="auto"/>
        <w:rPr>
          <w:rFonts w:ascii="Times New Roman" w:hAnsi="Times New Roman" w:cs="Times New Roman"/>
        </w:rPr>
      </w:pPr>
    </w:p>
    <w:p w14:paraId="2BDD2F16" w14:textId="7682B671" w:rsidR="006E6E92" w:rsidRPr="00415046" w:rsidRDefault="006746B6" w:rsidP="007E2130">
      <w:pPr>
        <w:spacing w:line="240" w:lineRule="auto"/>
        <w:jc w:val="both"/>
        <w:rPr>
          <w:rFonts w:ascii="Times New Roman" w:hAnsi="Times New Roman" w:cs="Times New Roman"/>
          <w:bCs/>
        </w:rPr>
      </w:pPr>
      <w:r w:rsidRPr="00415046">
        <w:rPr>
          <w:rFonts w:ascii="Times New Roman" w:hAnsi="Times New Roman" w:cs="Times New Roman"/>
          <w:bCs/>
        </w:rPr>
        <w:t>Similar to what was found for the storage size of the TOL/MCH hydrogenation system, t</w:t>
      </w:r>
      <w:r w:rsidR="006E6E92" w:rsidRPr="00415046">
        <w:rPr>
          <w:rFonts w:ascii="Times New Roman" w:hAnsi="Times New Roman" w:cs="Times New Roman"/>
          <w:bCs/>
        </w:rPr>
        <w:t>he liquefaction plant increases from 320 tonnes/day (TPD) at 100% wind to 600 TPD at 100% solar. The storage demand however decreases as solar displaces wind from 6,500 tonnes at 100% wind and reaches a minimum of 3,000 tonnes at 30% wind and 70% solar. Storage demand starts to increase again as solar completely displaces wind.</w:t>
      </w:r>
      <w:r w:rsidR="00224A57" w:rsidRPr="00415046">
        <w:rPr>
          <w:rFonts w:ascii="Times New Roman" w:hAnsi="Times New Roman" w:cs="Times New Roman"/>
          <w:bCs/>
        </w:rPr>
        <w:t xml:space="preserve"> </w:t>
      </w:r>
      <w:r w:rsidR="006E6E92" w:rsidRPr="00415046">
        <w:rPr>
          <w:rFonts w:ascii="Times New Roman" w:hAnsi="Times New Roman" w:cs="Times New Roman"/>
          <w:bCs/>
        </w:rPr>
        <w:t>The total capital cost remains flat from 50</w:t>
      </w:r>
      <w:r w:rsidRPr="00415046">
        <w:rPr>
          <w:rFonts w:ascii="Times New Roman" w:hAnsi="Times New Roman" w:cs="Times New Roman"/>
          <w:bCs/>
        </w:rPr>
        <w:t>% to 100</w:t>
      </w:r>
      <w:r w:rsidR="006E6E92" w:rsidRPr="00415046">
        <w:rPr>
          <w:rFonts w:ascii="Times New Roman" w:hAnsi="Times New Roman" w:cs="Times New Roman"/>
          <w:bCs/>
        </w:rPr>
        <w:t xml:space="preserve">% wind fraction. </w:t>
      </w:r>
      <w:r w:rsidRPr="00415046">
        <w:rPr>
          <w:rFonts w:ascii="Times New Roman" w:hAnsi="Times New Roman" w:cs="Times New Roman"/>
          <w:bCs/>
        </w:rPr>
        <w:t xml:space="preserve">This is because </w:t>
      </w:r>
      <w:r w:rsidR="006E6E92" w:rsidRPr="00415046">
        <w:rPr>
          <w:rFonts w:ascii="Times New Roman" w:hAnsi="Times New Roman" w:cs="Times New Roman"/>
          <w:bCs/>
        </w:rPr>
        <w:t>the</w:t>
      </w:r>
      <w:r w:rsidRPr="00415046">
        <w:rPr>
          <w:rFonts w:ascii="Times New Roman" w:hAnsi="Times New Roman" w:cs="Times New Roman"/>
          <w:bCs/>
        </w:rPr>
        <w:t xml:space="preserve"> levelized cost of the liquid storage system decreases with increasing solar, but the</w:t>
      </w:r>
      <w:r w:rsidR="006E6E92" w:rsidRPr="00415046">
        <w:rPr>
          <w:rFonts w:ascii="Times New Roman" w:hAnsi="Times New Roman" w:cs="Times New Roman"/>
          <w:bCs/>
        </w:rPr>
        <w:t xml:space="preserve"> cost of the liquefier increases as solar displaces wind. </w:t>
      </w:r>
      <w:r w:rsidRPr="00415046">
        <w:rPr>
          <w:rFonts w:ascii="Times New Roman" w:hAnsi="Times New Roman" w:cs="Times New Roman"/>
          <w:bCs/>
        </w:rPr>
        <w:t>T</w:t>
      </w:r>
      <w:r w:rsidR="006E6E92" w:rsidRPr="00415046">
        <w:rPr>
          <w:rFonts w:ascii="Times New Roman" w:hAnsi="Times New Roman" w:cs="Times New Roman"/>
          <w:bCs/>
        </w:rPr>
        <w:t>he cost sharply increases upon a further reduction in wind fraction as the predominant cost is due to the liquefaction plant.</w:t>
      </w:r>
    </w:p>
    <w:p w14:paraId="5F23E0CC" w14:textId="7E73DBE8" w:rsidR="006E6E92" w:rsidRPr="00415046" w:rsidRDefault="006E6E92" w:rsidP="007E2130">
      <w:pPr>
        <w:spacing w:line="240" w:lineRule="auto"/>
        <w:jc w:val="both"/>
        <w:rPr>
          <w:rFonts w:ascii="Times New Roman" w:hAnsi="Times New Roman" w:cs="Times New Roman"/>
          <w:bCs/>
        </w:rPr>
      </w:pPr>
    </w:p>
    <w:p w14:paraId="0190AA69" w14:textId="79CD9ED7" w:rsidR="006E6E92" w:rsidRPr="00415046" w:rsidRDefault="006E6E92" w:rsidP="007E2130">
      <w:pPr>
        <w:spacing w:line="240" w:lineRule="auto"/>
        <w:jc w:val="both"/>
        <w:rPr>
          <w:rFonts w:ascii="Times New Roman" w:hAnsi="Times New Roman" w:cs="Times New Roman"/>
          <w:bCs/>
        </w:rPr>
      </w:pPr>
      <w:r w:rsidRPr="00415046">
        <w:rPr>
          <w:rFonts w:ascii="Times New Roman" w:hAnsi="Times New Roman" w:cs="Times New Roman"/>
          <w:bCs/>
        </w:rPr>
        <w:t xml:space="preserve">The </w:t>
      </w:r>
      <w:r w:rsidR="00224A57" w:rsidRPr="00415046">
        <w:rPr>
          <w:rFonts w:ascii="Times New Roman" w:hAnsi="Times New Roman" w:cs="Times New Roman"/>
          <w:bCs/>
        </w:rPr>
        <w:t>technoeconomic analysis</w:t>
      </w:r>
      <w:r w:rsidRPr="00415046">
        <w:rPr>
          <w:rFonts w:ascii="Times New Roman" w:hAnsi="Times New Roman" w:cs="Times New Roman"/>
          <w:bCs/>
        </w:rPr>
        <w:t xml:space="preserve"> of storing large amounts of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bCs/>
        </w:rPr>
        <w:t xml:space="preserve"> in underground pipes, salt caverns and LRC is described in detail in a recently published work.</w:t>
      </w:r>
      <w:r w:rsidRPr="00415046">
        <w:rPr>
          <w:rFonts w:ascii="Times New Roman" w:hAnsi="Times New Roman" w:cs="Times New Roman"/>
          <w:bCs/>
        </w:rPr>
        <w:fldChar w:fldCharType="begin" w:fldLock="1"/>
      </w:r>
      <w:r w:rsidR="00A11F5F" w:rsidRPr="00415046">
        <w:rPr>
          <w:rFonts w:ascii="Times New Roman" w:hAnsi="Times New Roman" w:cs="Times New Roman"/>
          <w:bCs/>
        </w:rPr>
        <w:instrText>ADDIN CSL_CITATION {"citationItems":[{"id":"ITEM-1","itemData":{"DOI":"10.1016/J.IJHYDENE.2021.08.028","ISSN":"0360-3199","abstract":"The technical aspects and economics of bulk hydrogen storage in underground pipes, lined rock caverns (LRC) and salt caverns are analyzed. Hydrogen storage in underground pipes is more economical than in geological caverns for useable amounts &lt;20-t-H2. However, because the pipe material is a major cost factor, the capital and operating costs for this storage method do not decrease appreciably with an increase in the amount of stored H2. Unlike underground pipes, the installed capital cost of salt caverns decreases appreciably from ~$95/kg-H2 at 100 t-H2 stored to &lt;$19/kg-H2 at 3000 t-H2 stored. Over the same scale, the annual storage cost decreases from ~$17/kg-H2 to ~$3/kg-H2. Like salt caverns, the installed capital cost of lined rock caverns decreases from ~$160/kg-H2 at 100 t-H2 stored to &lt;$44/kg-H2 at 3000 t-H2 stored. Storing &gt;750-t useable H2 requires multiple caverns. The cost of salt caverns scales more favorably with size because the salt caverns are larger than lined rock caverns and need to be added at a slower rate as the storage capacity is increased.","author":[{"dropping-particle":"","family":"Papadias","given":"D. D.","non-dropping-particle":"","parse-names":false,"suffix":""},{"dropping-particle":"","family":"Ahluwalia","given":"R. K.","non-dropping-particle":"","parse-names":false,"suffix":""}],"container-title":"International Journal of Hydrogen Energy","id":"ITEM-1","issue":"70","issued":{"date-parts":[["2021","10","11"]]},"page":"34527-34541","publisher":"Pergamon","title":"Bulk storage of hydrogen","type":"article-journal","volume":"46"},"uris":["http://www.mendeley.com/documents/?uuid=342b09cb-730b-30b0-9359-82bda39daccc"]}],"mendeley":{"formattedCitation":"&lt;sup&gt;6&lt;/sup&gt;","plainTextFormattedCitation":"6","previouslyFormattedCitation":"&lt;sup&gt;6&lt;/sup&gt;"},"properties":{"noteIndex":0},"schema":"https://github.com/citation-style-language/schema/raw/master/csl-citation.json"}</w:instrText>
      </w:r>
      <w:r w:rsidRPr="00415046">
        <w:rPr>
          <w:rFonts w:ascii="Times New Roman" w:hAnsi="Times New Roman" w:cs="Times New Roman"/>
          <w:bCs/>
        </w:rPr>
        <w:fldChar w:fldCharType="separate"/>
      </w:r>
      <w:r w:rsidR="00CF0BB2" w:rsidRPr="00415046">
        <w:rPr>
          <w:rFonts w:ascii="Times New Roman" w:hAnsi="Times New Roman" w:cs="Times New Roman"/>
          <w:bCs/>
          <w:noProof/>
          <w:vertAlign w:val="superscript"/>
        </w:rPr>
        <w:t>6</w:t>
      </w:r>
      <w:r w:rsidRPr="00415046">
        <w:rPr>
          <w:rFonts w:ascii="Times New Roman" w:hAnsi="Times New Roman" w:cs="Times New Roman"/>
          <w:bCs/>
        </w:rPr>
        <w:fldChar w:fldCharType="end"/>
      </w:r>
      <w:r w:rsidRPr="00415046">
        <w:rPr>
          <w:rFonts w:ascii="Times New Roman" w:hAnsi="Times New Roman" w:cs="Times New Roman"/>
          <w:bCs/>
        </w:rPr>
        <w:t xml:space="preserve"> In brief, underground pipes start with the production of API 5L Grade X 52 pipes at the mill which are electrical resisted welded. The diameter of the pipes (24”, schedule 60) were chosen based on cost optimization. For this scenario, a 24” pipe schedule 60 can store </w:t>
      </w:r>
      <w:r w:rsidR="0092320A" w:rsidRPr="00415046">
        <w:rPr>
          <w:rFonts w:ascii="Times New Roman" w:hAnsi="Times New Roman" w:cs="Times New Roman"/>
          <w:bCs/>
        </w:rPr>
        <w:lastRenderedPageBreak/>
        <w:t>H</w:t>
      </w:r>
      <w:r w:rsidR="0092320A" w:rsidRPr="00415046">
        <w:rPr>
          <w:rFonts w:ascii="Times New Roman" w:hAnsi="Times New Roman" w:cs="Times New Roman"/>
          <w:bCs/>
          <w:vertAlign w:val="subscript"/>
        </w:rPr>
        <w:t>2</w:t>
      </w:r>
      <w:r w:rsidRPr="00415046">
        <w:rPr>
          <w:rFonts w:ascii="Times New Roman" w:hAnsi="Times New Roman" w:cs="Times New Roman"/>
          <w:bCs/>
        </w:rPr>
        <w:t xml:space="preserve"> at a maximum pressure of 100 bar. Pipes are radiographically inspected and cut into segments of 12 m. An external coating of polyurethane is applied for corrosion prevention and the pipes are shipped to the staging facility. Site preparation costs include expenses for land acquisition, site clearing, grubbing and disposal of debris and excavation and backfilling of the pipe network. The pipes are covered by 1.2 m of soil, and pipe strings are spaced 80 cm apart as necessary clearance for welding. Before backfilling, individual pipe segments are arc resistant welded and radiographically inspected. Once the pipe network is complete, a final hydraulic pressure testing for all pipe strings is conducted to ensure that there are no leaks. After backfilling, aboveground facilities are included in the site preparation costs, which consist of compressor, valves and pipes connecting the storage facility to an adjacent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bCs/>
        </w:rPr>
        <w:t xml:space="preserve"> production facility. </w:t>
      </w:r>
    </w:p>
    <w:p w14:paraId="43AB19D9" w14:textId="77777777" w:rsidR="006E6E92" w:rsidRPr="00415046" w:rsidRDefault="006E6E92" w:rsidP="007E2130">
      <w:pPr>
        <w:spacing w:line="240" w:lineRule="auto"/>
        <w:jc w:val="both"/>
        <w:rPr>
          <w:rFonts w:ascii="Times New Roman" w:hAnsi="Times New Roman" w:cs="Times New Roman"/>
          <w:bCs/>
        </w:rPr>
      </w:pPr>
    </w:p>
    <w:p w14:paraId="5A4BD068" w14:textId="4C37B53B" w:rsidR="006E6E92" w:rsidRPr="00415046" w:rsidRDefault="006E6E92" w:rsidP="007E2130">
      <w:pPr>
        <w:spacing w:line="240" w:lineRule="auto"/>
        <w:jc w:val="both"/>
        <w:rPr>
          <w:rFonts w:ascii="Times New Roman" w:hAnsi="Times New Roman" w:cs="Times New Roman"/>
          <w:bCs/>
        </w:rPr>
      </w:pPr>
      <w:r w:rsidRPr="00415046">
        <w:rPr>
          <w:rFonts w:ascii="Times New Roman" w:hAnsi="Times New Roman" w:cs="Times New Roman"/>
          <w:bCs/>
        </w:rPr>
        <w:t xml:space="preserve">Salt caverns are especially suitable for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bCs/>
        </w:rPr>
        <w:t xml:space="preserve"> storage in extensive quantities, but are geographically limited to a few locations; favorable locations in the U.S. are found in the Gulf Coast and the </w:t>
      </w:r>
      <w:r w:rsidR="00087E6B" w:rsidRPr="00415046">
        <w:rPr>
          <w:rFonts w:ascii="Times New Roman" w:hAnsi="Times New Roman" w:cs="Times New Roman"/>
          <w:bCs/>
        </w:rPr>
        <w:t>N</w:t>
      </w:r>
      <w:r w:rsidRPr="00415046">
        <w:rPr>
          <w:rFonts w:ascii="Times New Roman" w:hAnsi="Times New Roman" w:cs="Times New Roman"/>
          <w:bCs/>
        </w:rPr>
        <w:t>ortheast.</w:t>
      </w:r>
      <w:r w:rsidR="00E66DFB" w:rsidRPr="00415046">
        <w:rPr>
          <w:rFonts w:ascii="Times New Roman" w:hAnsi="Times New Roman" w:cs="Times New Roman"/>
          <w:bCs/>
        </w:rPr>
        <w:fldChar w:fldCharType="begin" w:fldLock="1"/>
      </w:r>
      <w:r w:rsidR="00E66DFB" w:rsidRPr="00415046">
        <w:rPr>
          <w:rFonts w:ascii="Times New Roman" w:hAnsi="Times New Roman" w:cs="Times New Roman"/>
          <w:bCs/>
        </w:rPr>
        <w:instrText>ADDIN CSL_CITATION {"citationItems":[{"id":"ITEM-1","itemData":{"author":[{"dropping-particle":"","family":"Reznicek","given":"Evan P.","non-dropping-particle":"","parse-names":false,"suffix":""},{"dropping-particle":"","family":"Koleva","given":"Mariya","non-dropping-particle":"","parse-names":false,"suffix":""},{"dropping-particle":"","family":"King","given":"Jennifer","non-dropping-particle":"","parse-names":false,"suffix":""},{"dropping-particle":"","family":"Kotarbinski","given":"Matthew","non-dropping-particle":"","parse-names":false,"suffix":""},{"dropping-particle":"","family":"Grant","given":"Elenya Sophia","non-dropping-particle":"","parse-names":false,"suffix":""},{"dropping-particle":"","family":"Vijayshankar","given":"Sanjana","non-dropping-particle":"","parse-names":false,"suffix":""},{"dropping-particle":"","family":"Brunik","given":"Kaitlin","non-dropping-particle":"","parse-names":false,"suffix":""},{"dropping-particle":"","family":"Thomas","given":"Jared","non-dropping-particle":"","parse-names":false,"suffix":""},{"dropping-particle":"","family":"Gupta","given":"Abhineet","non-dropping-particle":"","parse-names":false,"suffix":""},{"dropping-particle":"","family":"Hammond","given":"Steven","non-dropping-particle":"","parse-names":false,"suffix":""},{"dropping-particle":"","family":"Singh","given":"Vivek","non-dropping-particle":"","parse-names":false,"suffix":""},{"dropping-particle":"","family":"Tusing","given":"Richard","non-dropping-particle":"","parse-names":false,"suffix":""},{"dropping-particle":"","family":"Sun","given":"Pingping","non-dropping-particle":"","parse-names":false,"suffix":""},{"dropping-particle":"","family":"Lee","given":"Kyuha","non-dropping-particle":"","parse-names":false,"suffix":""},{"dropping-particle":"","family":"Elgowainy","given":"Amgad","non-dropping-particle":"","parse-names":false,"suffix":""},{"dropping-particle":"","family":"Breunig","given":"Hanna","non-dropping-particle":"","parse-names":false,"suffix":""},{"dropping-particle":"","family":"Rosner","given":"Fabian","non-dropping-particle":"","parse-names":false,"suffix":""},{"dropping-particle":"","family":"Pinto","given":"João Pereira","non-dropping-particle":"","parse-names":false,"suffix":""}],"container-title":"Joule","id":"ITEM-1","issued":{"date-parts":[["2024"]]},"title":"Techno-Economic Analysis of Low-Carbon Hydrogen Production Pathways for Decarbonizing Steel and Ammonia Production","type":"article-journal"},"uris":["http://www.mendeley.com/documents/?uuid=846daff2-1e65-4546-82cc-623abe90e37c"]},{"id":"ITEM-2","itemData":{"DOI":"10.1016/J.IJHYDENE.2019.03.063","ISSN":"0360-3199","abstract":"The large-scale storage of hydrogen plays a fundamental role in a potential future hydrogen economy. Although the storage of gaseous hydrogen in salt caverns already is used on a full industrial scale, the approach is not applicable in all regions due to varying geological conditions. Therefore, other storage methods are necessary. In this article, options for the large-scale storage of hydrogen are reviewed and compared based on fundamental thermodynamic and engineering aspects. The application of certain storage technologies, such as liquid hydrogen, methanol, ammonia, and dibenzyltoluene, is found to be advantageous in terms of storage density, cost of storage, and safety. The variable costs for these high-density storage technologies are largely associated with a high electricity demand for the storage process or with a high heat demand for the hydrogen release process. If hydrogen is produced via electrolysis and stored during times of low electricity prices in an industrial setting, these variable costs may be tolerable.","author":[{"dropping-particle":"","family":"Andersson","given":"Joakim","non-dropping-particle":"","parse-names":false,"suffix":""},{"dropping-particle":"","family":"Grönkvist","given":"Stefan","non-dropping-particle":"","parse-names":false,"suffix":""}],"container-title":"International Journal of Hydrogen Energy","id":"ITEM-2","issue":"23","issued":{"date-parts":[["2019","5","3"]]},"page":"11901-11919","publisher":"Pergamon","title":"Large-scale storage of hydrogen","type":"article-journal","volume":"44"},"uris":["http://www.mendeley.com/documents/?uuid=4e63cc3c-9234-3e51-b187-4e701b7ac2b4"]}],"mendeley":{"formattedCitation":"&lt;sup&gt;7,8&lt;/sup&gt;","plainTextFormattedCitation":"7,8","previouslyFormattedCitation":"&lt;sup&gt;7,8&lt;/sup&gt;"},"properties":{"noteIndex":0},"schema":"https://github.com/citation-style-language/schema/raw/master/csl-citation.json"}</w:instrText>
      </w:r>
      <w:r w:rsidR="00E66DFB" w:rsidRPr="00415046">
        <w:rPr>
          <w:rFonts w:ascii="Times New Roman" w:hAnsi="Times New Roman" w:cs="Times New Roman"/>
          <w:bCs/>
        </w:rPr>
        <w:fldChar w:fldCharType="separate"/>
      </w:r>
      <w:r w:rsidR="00E66DFB" w:rsidRPr="00415046">
        <w:rPr>
          <w:rFonts w:ascii="Times New Roman" w:hAnsi="Times New Roman" w:cs="Times New Roman"/>
          <w:bCs/>
          <w:noProof/>
          <w:vertAlign w:val="superscript"/>
        </w:rPr>
        <w:t>7,8</w:t>
      </w:r>
      <w:r w:rsidR="00E66DFB" w:rsidRPr="00415046">
        <w:rPr>
          <w:rFonts w:ascii="Times New Roman" w:hAnsi="Times New Roman" w:cs="Times New Roman"/>
          <w:bCs/>
        </w:rPr>
        <w:fldChar w:fldCharType="end"/>
      </w:r>
      <w:r w:rsidRPr="00415046">
        <w:rPr>
          <w:rFonts w:ascii="Times New Roman" w:hAnsi="Times New Roman" w:cs="Times New Roman"/>
          <w:bCs/>
        </w:rPr>
        <w:t xml:space="preserve"> Meeting geological requirements, the underground cavern can be created using a process known as solution mining or leaching. After drilling to a desired depth, an annular pipe is fitted through the borehole and lowered to the middle of the cavity. To form the salt cavern, fresh water is pumped through the inner tubing to the bottom of the borehole. The water dissolves the salt and saturated brine is removed through the other pipe, leaving an area of free space. Brine is assumed to be disposed in Class II wells. In absence of Class II wells, the brine is likely to be disposed in waste treatment plants. This is a costly option, and depending on the distance, this may limit site availability further. Upon completion of the cavern structure, a final </w:t>
      </w:r>
      <w:proofErr w:type="spellStart"/>
      <w:r w:rsidRPr="00415046">
        <w:rPr>
          <w:rFonts w:ascii="Times New Roman" w:hAnsi="Times New Roman" w:cs="Times New Roman"/>
          <w:bCs/>
        </w:rPr>
        <w:t>debrining</w:t>
      </w:r>
      <w:proofErr w:type="spellEnd"/>
      <w:r w:rsidRPr="00415046">
        <w:rPr>
          <w:rFonts w:ascii="Times New Roman" w:hAnsi="Times New Roman" w:cs="Times New Roman"/>
          <w:bCs/>
        </w:rPr>
        <w:t xml:space="preserve"> process is required, which essentially uses gas pressure to displace the brine contained in the cavern at the completion of solution mining. </w:t>
      </w:r>
      <w:r w:rsidR="00E66DFB" w:rsidRPr="00415046">
        <w:rPr>
          <w:rFonts w:ascii="Times New Roman" w:hAnsi="Times New Roman" w:cs="Times New Roman"/>
          <w:bCs/>
        </w:rPr>
        <w:t>In this study, we assume</w:t>
      </w:r>
      <w:r w:rsidRPr="00415046">
        <w:rPr>
          <w:rFonts w:ascii="Times New Roman" w:hAnsi="Times New Roman" w:cs="Times New Roman"/>
          <w:bCs/>
        </w:rPr>
        <w:t xml:space="preserve"> the cavern </w:t>
      </w:r>
      <w:r w:rsidR="00E66DFB" w:rsidRPr="00415046">
        <w:rPr>
          <w:rFonts w:ascii="Times New Roman" w:hAnsi="Times New Roman" w:cs="Times New Roman"/>
          <w:bCs/>
        </w:rPr>
        <w:t>i</w:t>
      </w:r>
      <w:r w:rsidRPr="00415046">
        <w:rPr>
          <w:rFonts w:ascii="Times New Roman" w:hAnsi="Times New Roman" w:cs="Times New Roman"/>
          <w:bCs/>
        </w:rPr>
        <w:t>s placed 765 m below</w:t>
      </w:r>
      <w:r w:rsidR="006368A1" w:rsidRPr="00415046">
        <w:rPr>
          <w:rFonts w:ascii="Times New Roman" w:hAnsi="Times New Roman" w:cs="Times New Roman"/>
          <w:bCs/>
        </w:rPr>
        <w:t xml:space="preserve"> </w:t>
      </w:r>
      <w:r w:rsidRPr="00415046">
        <w:rPr>
          <w:rFonts w:ascii="Times New Roman" w:hAnsi="Times New Roman" w:cs="Times New Roman"/>
          <w:bCs/>
        </w:rPr>
        <w:t xml:space="preserve">ground, requiring a gas pressure of 120 bar to prevent creep of the cavern walls. Aboveground facilities are constructed in a similar fashion as </w:t>
      </w:r>
      <w:r w:rsidR="00E66DFB" w:rsidRPr="00415046">
        <w:rPr>
          <w:rFonts w:ascii="Times New Roman" w:hAnsi="Times New Roman" w:cs="Times New Roman"/>
          <w:bCs/>
        </w:rPr>
        <w:t xml:space="preserve">the </w:t>
      </w:r>
      <w:r w:rsidRPr="00415046">
        <w:rPr>
          <w:rFonts w:ascii="Times New Roman" w:hAnsi="Times New Roman" w:cs="Times New Roman"/>
          <w:bCs/>
        </w:rPr>
        <w:t xml:space="preserve">underground pipes, discussed earlier. </w:t>
      </w:r>
    </w:p>
    <w:p w14:paraId="29870192" w14:textId="77777777" w:rsidR="006E6E92" w:rsidRPr="00415046" w:rsidRDefault="006E6E92" w:rsidP="007E2130">
      <w:pPr>
        <w:spacing w:line="240" w:lineRule="auto"/>
        <w:jc w:val="both"/>
        <w:rPr>
          <w:rFonts w:ascii="Times New Roman" w:hAnsi="Times New Roman" w:cs="Times New Roman"/>
          <w:bCs/>
        </w:rPr>
      </w:pPr>
    </w:p>
    <w:p w14:paraId="3DC83F67" w14:textId="5F55D8A3" w:rsidR="006E6E92" w:rsidRPr="00415046" w:rsidRDefault="006E6E92" w:rsidP="007E2130">
      <w:pPr>
        <w:spacing w:line="240" w:lineRule="auto"/>
        <w:jc w:val="both"/>
        <w:rPr>
          <w:rFonts w:ascii="Times New Roman" w:hAnsi="Times New Roman" w:cs="Times New Roman"/>
          <w:bCs/>
        </w:rPr>
      </w:pPr>
      <w:r w:rsidRPr="00415046">
        <w:rPr>
          <w:rFonts w:ascii="Times New Roman" w:hAnsi="Times New Roman" w:cs="Times New Roman"/>
          <w:bCs/>
        </w:rPr>
        <w:t xml:space="preserve">Where salt formations are not available, rock caverns can provide more possibilities close to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bCs/>
        </w:rPr>
        <w:t xml:space="preserve"> production facilities.</w:t>
      </w:r>
      <w:r w:rsidR="00E66DFB" w:rsidRPr="00415046">
        <w:rPr>
          <w:rFonts w:ascii="Times New Roman" w:hAnsi="Times New Roman" w:cs="Times New Roman"/>
          <w:bCs/>
        </w:rPr>
        <w:fldChar w:fldCharType="begin" w:fldLock="1"/>
      </w:r>
      <w:r w:rsidR="003C31C7" w:rsidRPr="00415046">
        <w:rPr>
          <w:rFonts w:ascii="Times New Roman" w:hAnsi="Times New Roman" w:cs="Times New Roman"/>
          <w:bCs/>
        </w:rPr>
        <w:instrText>ADDIN CSL_CITATION {"citationItems":[{"id":"ITEM-1","itemData":{"author":[{"dropping-particle":"","family":"Reznicek","given":"Evan P.","non-dropping-particle":"","parse-names":false,"suffix":""},{"dropping-particle":"","family":"Koleva","given":"Mariya","non-dropping-particle":"","parse-names":false,"suffix":""},{"dropping-particle":"","family":"King","given":"Jennifer","non-dropping-particle":"","parse-names":false,"suffix":""},{"dropping-particle":"","family":"Kotarbinski","given":"Matthew","non-dropping-particle":"","parse-names":false,"suffix":""},{"dropping-particle":"","family":"Grant","given":"Elenya Sophia","non-dropping-particle":"","parse-names":false,"suffix":""},{"dropping-particle":"","family":"Vijayshankar","given":"Sanjana","non-dropping-particle":"","parse-names":false,"suffix":""},{"dropping-particle":"","family":"Brunik","given":"Kaitlin","non-dropping-particle":"","parse-names":false,"suffix":""},{"dropping-particle":"","family":"Thomas","given":"Jared","non-dropping-particle":"","parse-names":false,"suffix":""},{"dropping-particle":"","family":"Gupta","given":"Abhineet","non-dropping-particle":"","parse-names":false,"suffix":""},{"dropping-particle":"","family":"Hammond","given":"Steven","non-dropping-particle":"","parse-names":false,"suffix":""},{"dropping-particle":"","family":"Singh","given":"Vivek","non-dropping-particle":"","parse-names":false,"suffix":""},{"dropping-particle":"","family":"Tusing","given":"Richard","non-dropping-particle":"","parse-names":false,"suffix":""},{"dropping-particle":"","family":"Sun","given":"Pingping","non-dropping-particle":"","parse-names":false,"suffix":""},{"dropping-particle":"","family":"Lee","given":"Kyuha","non-dropping-particle":"","parse-names":false,"suffix":""},{"dropping-particle":"","family":"Elgowainy","given":"Amgad","non-dropping-particle":"","parse-names":false,"suffix":""},{"dropping-particle":"","family":"Breunig","given":"Hanna","non-dropping-particle":"","parse-names":false,"suffix":""},{"dropping-particle":"","family":"Rosner","given":"Fabian","non-dropping-particle":"","parse-names":false,"suffix":""},{"dropping-particle":"","family":"Pinto","given":"João Pereira","non-dropping-particle":"","parse-names":false,"suffix":""}],"container-title":"Joule","id":"ITEM-1","issued":{"date-parts":[["2024"]]},"title":"Techno-Economic Analysis of Low-Carbon Hydrogen Production Pathways for Decarbonizing Steel and Ammonia Production","type":"article-journal"},"uris":["http://www.mendeley.com/documents/?uuid=846daff2-1e65-4546-82cc-623abe90e37c"]}],"mendeley":{"formattedCitation":"&lt;sup&gt;7&lt;/sup&gt;","plainTextFormattedCitation":"7","previouslyFormattedCitation":"&lt;sup&gt;7&lt;/sup&gt;"},"properties":{"noteIndex":0},"schema":"https://github.com/citation-style-language/schema/raw/master/csl-citation.json"}</w:instrText>
      </w:r>
      <w:r w:rsidR="00E66DFB" w:rsidRPr="00415046">
        <w:rPr>
          <w:rFonts w:ascii="Times New Roman" w:hAnsi="Times New Roman" w:cs="Times New Roman"/>
          <w:bCs/>
        </w:rPr>
        <w:fldChar w:fldCharType="separate"/>
      </w:r>
      <w:r w:rsidR="00E66DFB" w:rsidRPr="00415046">
        <w:rPr>
          <w:rFonts w:ascii="Times New Roman" w:hAnsi="Times New Roman" w:cs="Times New Roman"/>
          <w:bCs/>
          <w:noProof/>
          <w:vertAlign w:val="superscript"/>
        </w:rPr>
        <w:t>7</w:t>
      </w:r>
      <w:r w:rsidR="00E66DFB" w:rsidRPr="00415046">
        <w:rPr>
          <w:rFonts w:ascii="Times New Roman" w:hAnsi="Times New Roman" w:cs="Times New Roman"/>
          <w:bCs/>
        </w:rPr>
        <w:fldChar w:fldCharType="end"/>
      </w:r>
      <w:r w:rsidR="00087E6B" w:rsidRPr="00415046">
        <w:rPr>
          <w:rFonts w:ascii="Times New Roman" w:hAnsi="Times New Roman" w:cs="Times New Roman"/>
          <w:bCs/>
        </w:rPr>
        <w:t xml:space="preserve"> </w:t>
      </w:r>
      <w:r w:rsidRPr="00415046">
        <w:rPr>
          <w:rFonts w:ascii="Times New Roman" w:hAnsi="Times New Roman" w:cs="Times New Roman"/>
          <w:bCs/>
        </w:rPr>
        <w:t xml:space="preserve">It should be noted that LRC require a competent rock, deep underground with rock mass rating (RMR) above 50 for high pressure storage (&gt;100 bar). This requirement will further limit the applicability of site location. The core cost features of this type of storage system consist of three parts: a) excavation of the underground facility including access tunnels and the cavern enclosure, b) installation of the liner and concrete surrounding the liner and the cavern forming the storage facility and c) the aboveground facilities including compressor, pipes and valves. Excavation is performed by conventional mining operations i.e. drill-and-blast operations. Shafts connecting to the lower and upper part of the dome are excavated and supported with grouted rebar as to minimize groundwater leaking. The caverns are excavated as hemispherical cylinders and reinforced with rock bolting and concrete. A steel liner is then installed which contains the gas whereas the sealing layers transmit the pressure load to the surrounding rock. The lining consists of 15-mm thick mild steel sheets which are welded together to form the inner vessel of the dome. The concrete layer (2-m thick), reinforced with a rebar lattice, distributes the pressure load to the surrounding rock. A drainage arrangement of perforated pipes is also mounted around the cavern before the concrete is poured as to remove water accumulating in the </w:t>
      </w:r>
      <w:proofErr w:type="spellStart"/>
      <w:r w:rsidRPr="00415046">
        <w:rPr>
          <w:rFonts w:ascii="Times New Roman" w:hAnsi="Times New Roman" w:cs="Times New Roman"/>
          <w:bCs/>
        </w:rPr>
        <w:t>lining</w:t>
      </w:r>
      <w:proofErr w:type="spellEnd"/>
      <w:r w:rsidRPr="00415046">
        <w:rPr>
          <w:rFonts w:ascii="Times New Roman" w:hAnsi="Times New Roman" w:cs="Times New Roman"/>
          <w:bCs/>
        </w:rPr>
        <w:t xml:space="preserve"> section. We assume that the cavern is located 150 m below the surface and assume an RMR value to the rock of 50, which limits the maximum storage pressure to 150 bar.</w:t>
      </w:r>
    </w:p>
    <w:p w14:paraId="696F47F4" w14:textId="6D285C84" w:rsidR="00BE7461" w:rsidRPr="00415046" w:rsidRDefault="00BE7461" w:rsidP="007E2130">
      <w:pPr>
        <w:spacing w:line="240" w:lineRule="auto"/>
        <w:jc w:val="both"/>
        <w:rPr>
          <w:rFonts w:ascii="Times New Roman" w:hAnsi="Times New Roman" w:cs="Times New Roman"/>
          <w:bCs/>
        </w:rPr>
      </w:pPr>
    </w:p>
    <w:p w14:paraId="432A7A81" w14:textId="24AE72E0" w:rsidR="00BE7461" w:rsidRPr="00415046" w:rsidRDefault="00E90782" w:rsidP="007E2130">
      <w:pPr>
        <w:spacing w:line="240" w:lineRule="auto"/>
        <w:rPr>
          <w:rFonts w:ascii="Times New Roman" w:hAnsi="Times New Roman" w:cs="Times New Roman"/>
          <w:b/>
        </w:rPr>
      </w:pPr>
      <w:r w:rsidRPr="00415046">
        <w:rPr>
          <w:rFonts w:ascii="Times New Roman" w:hAnsi="Times New Roman" w:cs="Times New Roman"/>
          <w:b/>
          <w:noProof/>
        </w:rPr>
        <w:lastRenderedPageBreak/>
        <w:drawing>
          <wp:inline distT="0" distB="0" distL="0" distR="0" wp14:anchorId="5922E43D" wp14:editId="1588F1CF">
            <wp:extent cx="5943600" cy="3688601"/>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688601"/>
                    </a:xfrm>
                    <a:prstGeom prst="rect">
                      <a:avLst/>
                    </a:prstGeom>
                    <a:noFill/>
                  </pic:spPr>
                </pic:pic>
              </a:graphicData>
            </a:graphic>
          </wp:inline>
        </w:drawing>
      </w:r>
    </w:p>
    <w:p w14:paraId="40721DFA" w14:textId="4C4B1066" w:rsidR="00BE7461" w:rsidRPr="00CB2BA3" w:rsidRDefault="00CB2BA3" w:rsidP="00CB2BA3">
      <w:pPr>
        <w:pStyle w:val="Caption"/>
        <w:rPr>
          <w:rFonts w:ascii="Times New Roman" w:hAnsi="Times New Roman" w:cs="Times New Roman"/>
          <w:bCs/>
          <w:color w:val="auto"/>
          <w:sz w:val="22"/>
          <w:szCs w:val="22"/>
        </w:rPr>
      </w:pPr>
      <w:bookmarkStart w:id="15" w:name="_Toc164699846"/>
      <w:r w:rsidRPr="00CB2BA3">
        <w:rPr>
          <w:rFonts w:ascii="Times New Roman" w:hAnsi="Times New Roman" w:cs="Times New Roman"/>
          <w:color w:val="auto"/>
          <w:sz w:val="22"/>
          <w:szCs w:val="22"/>
        </w:rPr>
        <w:t>Figure S</w:t>
      </w:r>
      <w:r w:rsidRPr="00CB2BA3">
        <w:rPr>
          <w:rFonts w:ascii="Times New Roman" w:hAnsi="Times New Roman" w:cs="Times New Roman"/>
          <w:color w:val="auto"/>
          <w:sz w:val="22"/>
          <w:szCs w:val="22"/>
        </w:rPr>
        <w:fldChar w:fldCharType="begin"/>
      </w:r>
      <w:r w:rsidRPr="00CB2BA3">
        <w:rPr>
          <w:rFonts w:ascii="Times New Roman" w:hAnsi="Times New Roman" w:cs="Times New Roman"/>
          <w:color w:val="auto"/>
          <w:sz w:val="22"/>
          <w:szCs w:val="22"/>
        </w:rPr>
        <w:instrText xml:space="preserve"> SEQ Figure \* ARABIC </w:instrText>
      </w:r>
      <w:r w:rsidRPr="00CB2BA3">
        <w:rPr>
          <w:rFonts w:ascii="Times New Roman" w:hAnsi="Times New Roman" w:cs="Times New Roman"/>
          <w:color w:val="auto"/>
          <w:sz w:val="22"/>
          <w:szCs w:val="22"/>
        </w:rPr>
        <w:fldChar w:fldCharType="separate"/>
      </w:r>
      <w:r w:rsidR="004A6504">
        <w:rPr>
          <w:rFonts w:ascii="Times New Roman" w:hAnsi="Times New Roman" w:cs="Times New Roman"/>
          <w:noProof/>
          <w:color w:val="auto"/>
          <w:sz w:val="22"/>
          <w:szCs w:val="22"/>
        </w:rPr>
        <w:t>4</w:t>
      </w:r>
      <w:r w:rsidRPr="00CB2BA3">
        <w:rPr>
          <w:rFonts w:ascii="Times New Roman" w:hAnsi="Times New Roman" w:cs="Times New Roman"/>
          <w:color w:val="auto"/>
          <w:sz w:val="22"/>
          <w:szCs w:val="22"/>
        </w:rPr>
        <w:fldChar w:fldCharType="end"/>
      </w:r>
      <w:r w:rsidRPr="00CB2BA3">
        <w:rPr>
          <w:rFonts w:ascii="Times New Roman" w:hAnsi="Times New Roman" w:cs="Times New Roman"/>
          <w:color w:val="auto"/>
          <w:sz w:val="22"/>
          <w:szCs w:val="22"/>
        </w:rPr>
        <w:t xml:space="preserve"> | Levelized cost of delivered hydrogen for above and belowground storage technologies. Results presented for a case where H</w:t>
      </w:r>
      <w:r w:rsidRPr="00CB2BA3">
        <w:rPr>
          <w:rFonts w:ascii="Times New Roman" w:hAnsi="Times New Roman" w:cs="Times New Roman"/>
          <w:color w:val="auto"/>
          <w:sz w:val="22"/>
          <w:szCs w:val="22"/>
          <w:vertAlign w:val="subscript"/>
        </w:rPr>
        <w:t>2</w:t>
      </w:r>
      <w:r w:rsidRPr="00CB2BA3">
        <w:rPr>
          <w:rFonts w:ascii="Times New Roman" w:hAnsi="Times New Roman" w:cs="Times New Roman"/>
          <w:color w:val="auto"/>
          <w:sz w:val="22"/>
          <w:szCs w:val="22"/>
        </w:rPr>
        <w:t xml:space="preserve"> is produced at $1/kg-H</w:t>
      </w:r>
      <w:r w:rsidRPr="00CB2BA3">
        <w:rPr>
          <w:rFonts w:ascii="Times New Roman" w:hAnsi="Times New Roman" w:cs="Times New Roman"/>
          <w:color w:val="auto"/>
          <w:sz w:val="22"/>
          <w:szCs w:val="22"/>
          <w:vertAlign w:val="subscript"/>
        </w:rPr>
        <w:t>2</w:t>
      </w:r>
      <w:r w:rsidRPr="00CB2BA3">
        <w:rPr>
          <w:rFonts w:ascii="Times New Roman" w:hAnsi="Times New Roman" w:cs="Times New Roman"/>
          <w:color w:val="auto"/>
          <w:sz w:val="22"/>
          <w:szCs w:val="22"/>
        </w:rPr>
        <w:t>, the storage facility is scaled to ~3,000 tonnes H</w:t>
      </w:r>
      <w:r w:rsidRPr="00CB2BA3">
        <w:rPr>
          <w:rFonts w:ascii="Times New Roman" w:hAnsi="Times New Roman" w:cs="Times New Roman"/>
          <w:color w:val="auto"/>
          <w:sz w:val="22"/>
          <w:szCs w:val="22"/>
          <w:vertAlign w:val="subscript"/>
        </w:rPr>
        <w:t>2</w:t>
      </w:r>
      <w:r w:rsidRPr="00CB2BA3">
        <w:rPr>
          <w:rFonts w:ascii="Times New Roman" w:hAnsi="Times New Roman" w:cs="Times New Roman"/>
          <w:color w:val="auto"/>
          <w:sz w:val="22"/>
          <w:szCs w:val="22"/>
        </w:rPr>
        <w:t>. GH2: 100 bar compressed gas; LH2: cryogenic liquid where boiloff at 3% per day is utilized; LRC: lined rock caverns at 150 bar compression.</w:t>
      </w:r>
      <w:bookmarkEnd w:id="15"/>
    </w:p>
    <w:p w14:paraId="5F754BAB" w14:textId="77777777" w:rsidR="00106398" w:rsidRPr="00415046" w:rsidRDefault="00106398" w:rsidP="007E2130">
      <w:pPr>
        <w:spacing w:line="240" w:lineRule="auto"/>
        <w:rPr>
          <w:rFonts w:ascii="Times New Roman" w:hAnsi="Times New Roman" w:cs="Times New Roman"/>
          <w:b/>
        </w:rPr>
      </w:pPr>
    </w:p>
    <w:p w14:paraId="48EDB8CA" w14:textId="27E427E7" w:rsidR="000365D3" w:rsidRPr="00415046" w:rsidRDefault="00517E88" w:rsidP="00415046">
      <w:pPr>
        <w:pStyle w:val="Heading1"/>
        <w:rPr>
          <w:rFonts w:ascii="Times New Roman" w:hAnsi="Times New Roman" w:cs="Times New Roman"/>
          <w:b/>
          <w:color w:val="auto"/>
          <w:sz w:val="22"/>
          <w:szCs w:val="22"/>
        </w:rPr>
      </w:pPr>
      <w:bookmarkStart w:id="16" w:name="_Toc164699840"/>
      <w:r w:rsidRPr="00415046">
        <w:rPr>
          <w:rFonts w:ascii="Times New Roman" w:hAnsi="Times New Roman" w:cs="Times New Roman"/>
          <w:b/>
          <w:color w:val="auto"/>
          <w:sz w:val="22"/>
          <w:szCs w:val="22"/>
        </w:rPr>
        <w:t xml:space="preserve">Note 5: </w:t>
      </w:r>
      <w:r w:rsidR="00291D8A" w:rsidRPr="00415046">
        <w:rPr>
          <w:rFonts w:ascii="Times New Roman" w:hAnsi="Times New Roman" w:cs="Times New Roman"/>
          <w:b/>
          <w:color w:val="auto"/>
          <w:sz w:val="22"/>
          <w:szCs w:val="22"/>
        </w:rPr>
        <w:t xml:space="preserve">Hydrogen Safety Panel </w:t>
      </w:r>
      <w:r w:rsidR="00F653D9" w:rsidRPr="00415046">
        <w:rPr>
          <w:rFonts w:ascii="Times New Roman" w:hAnsi="Times New Roman" w:cs="Times New Roman"/>
          <w:b/>
          <w:color w:val="auto"/>
          <w:sz w:val="22"/>
          <w:szCs w:val="22"/>
        </w:rPr>
        <w:t>i</w:t>
      </w:r>
      <w:r w:rsidR="00291D8A" w:rsidRPr="00415046">
        <w:rPr>
          <w:rFonts w:ascii="Times New Roman" w:hAnsi="Times New Roman" w:cs="Times New Roman"/>
          <w:b/>
          <w:color w:val="auto"/>
          <w:sz w:val="22"/>
          <w:szCs w:val="22"/>
        </w:rPr>
        <w:t xml:space="preserve">nterview </w:t>
      </w:r>
      <w:r w:rsidR="00F653D9" w:rsidRPr="00415046">
        <w:rPr>
          <w:rFonts w:ascii="Times New Roman" w:hAnsi="Times New Roman" w:cs="Times New Roman"/>
          <w:b/>
          <w:color w:val="auto"/>
          <w:sz w:val="22"/>
          <w:szCs w:val="22"/>
        </w:rPr>
        <w:t>s</w:t>
      </w:r>
      <w:r w:rsidR="00291D8A" w:rsidRPr="00415046">
        <w:rPr>
          <w:rFonts w:ascii="Times New Roman" w:hAnsi="Times New Roman" w:cs="Times New Roman"/>
          <w:b/>
          <w:color w:val="auto"/>
          <w:sz w:val="22"/>
          <w:szCs w:val="22"/>
        </w:rPr>
        <w:t>ummary</w:t>
      </w:r>
      <w:r w:rsidR="00F653D9" w:rsidRPr="00415046">
        <w:rPr>
          <w:rFonts w:ascii="Times New Roman" w:hAnsi="Times New Roman" w:cs="Times New Roman"/>
          <w:b/>
          <w:color w:val="auto"/>
          <w:sz w:val="22"/>
          <w:szCs w:val="22"/>
        </w:rPr>
        <w:t>.</w:t>
      </w:r>
      <w:bookmarkEnd w:id="16"/>
    </w:p>
    <w:p w14:paraId="79D41494" w14:textId="6696700F" w:rsidR="000365D3" w:rsidRPr="00415046" w:rsidRDefault="000365D3" w:rsidP="007E2130">
      <w:pPr>
        <w:spacing w:after="240" w:line="240" w:lineRule="auto"/>
        <w:rPr>
          <w:rFonts w:ascii="Times New Roman" w:hAnsi="Times New Roman" w:cs="Times New Roman"/>
        </w:rPr>
      </w:pPr>
      <w:r w:rsidRPr="00415046">
        <w:rPr>
          <w:rFonts w:ascii="Times New Roman" w:hAnsi="Times New Roman" w:cs="Times New Roman"/>
        </w:rPr>
        <w:t xml:space="preserve">Here we present the results of our comprehensive analysis of safety and technology risk of the proposed renewable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rPr>
        <w:t xml:space="preserve"> generation and storage systems. Recognizing the importance of safety planning, the </w:t>
      </w:r>
      <w:r w:rsidR="00BB7945" w:rsidRPr="00415046">
        <w:rPr>
          <w:rFonts w:ascii="Times New Roman" w:hAnsi="Times New Roman" w:cs="Times New Roman"/>
        </w:rPr>
        <w:t>United States (US) Pacific Northwest National Laboratory (</w:t>
      </w:r>
      <w:r w:rsidRPr="00415046">
        <w:rPr>
          <w:rFonts w:ascii="Times New Roman" w:hAnsi="Times New Roman" w:cs="Times New Roman"/>
        </w:rPr>
        <w:t>PNNL</w:t>
      </w:r>
      <w:r w:rsidR="00BB7945" w:rsidRPr="00415046">
        <w:rPr>
          <w:rFonts w:ascii="Times New Roman" w:hAnsi="Times New Roman" w:cs="Times New Roman"/>
        </w:rPr>
        <w:t>)</w:t>
      </w:r>
      <w:r w:rsidRPr="00415046">
        <w:rPr>
          <w:rFonts w:ascii="Times New Roman" w:hAnsi="Times New Roman" w:cs="Times New Roman"/>
        </w:rPr>
        <w:t xml:space="preserve"> Hydrogen Safety Panel (HSP) was formed by the </w:t>
      </w:r>
      <w:r w:rsidR="006368A1" w:rsidRPr="00415046">
        <w:rPr>
          <w:rFonts w:ascii="Times New Roman" w:hAnsi="Times New Roman" w:cs="Times New Roman"/>
        </w:rPr>
        <w:t>US Department of Energy (</w:t>
      </w:r>
      <w:r w:rsidRPr="00415046">
        <w:rPr>
          <w:rFonts w:ascii="Times New Roman" w:hAnsi="Times New Roman" w:cs="Times New Roman"/>
        </w:rPr>
        <w:t>DOE</w:t>
      </w:r>
      <w:r w:rsidR="006368A1" w:rsidRPr="00415046">
        <w:rPr>
          <w:rFonts w:ascii="Times New Roman" w:hAnsi="Times New Roman" w:cs="Times New Roman"/>
        </w:rPr>
        <w:t>)</w:t>
      </w:r>
      <w:r w:rsidRPr="00415046">
        <w:rPr>
          <w:rFonts w:ascii="Times New Roman" w:hAnsi="Times New Roman" w:cs="Times New Roman"/>
        </w:rPr>
        <w:t xml:space="preserve"> to assemble a broad cross-section of expertise from the industrial, government, and academic sectors to help ensure the success of the program. </w:t>
      </w:r>
      <w:r w:rsidR="00BB7945" w:rsidRPr="00415046">
        <w:rPr>
          <w:rFonts w:ascii="Times New Roman" w:hAnsi="Times New Roman" w:cs="Times New Roman"/>
        </w:rPr>
        <w:t>For this study</w:t>
      </w:r>
      <w:r w:rsidRPr="00415046">
        <w:rPr>
          <w:rFonts w:ascii="Times New Roman" w:hAnsi="Times New Roman" w:cs="Times New Roman"/>
        </w:rPr>
        <w:t>, we held two meetings with members of the HSP to evaluate safety of the proposed technology and its anticipated application.</w:t>
      </w:r>
    </w:p>
    <w:p w14:paraId="5F3C8310" w14:textId="2F7CECD5" w:rsidR="0090667F" w:rsidRPr="00415046" w:rsidRDefault="000365D3" w:rsidP="0090667F">
      <w:pPr>
        <w:spacing w:line="240" w:lineRule="auto"/>
        <w:rPr>
          <w:rFonts w:ascii="Times New Roman" w:hAnsi="Times New Roman" w:cs="Times New Roman"/>
        </w:rPr>
      </w:pPr>
      <w:r w:rsidRPr="00415046">
        <w:rPr>
          <w:rFonts w:ascii="Times New Roman" w:hAnsi="Times New Roman" w:cs="Times New Roman"/>
        </w:rPr>
        <w:t>In these meetings, a range of issues were identified relative to the use of H</w:t>
      </w:r>
      <w:r w:rsidRPr="00415046">
        <w:rPr>
          <w:rFonts w:ascii="Times New Roman" w:hAnsi="Times New Roman" w:cs="Times New Roman"/>
          <w:vertAlign w:val="subscript"/>
        </w:rPr>
        <w:t>2</w:t>
      </w:r>
      <w:r w:rsidRPr="00415046">
        <w:rPr>
          <w:rFonts w:ascii="Times New Roman" w:hAnsi="Times New Roman" w:cs="Times New Roman"/>
        </w:rPr>
        <w:t>, oxygen, and H</w:t>
      </w:r>
      <w:r w:rsidRPr="00415046">
        <w:rPr>
          <w:rFonts w:ascii="Times New Roman" w:hAnsi="Times New Roman" w:cs="Times New Roman"/>
          <w:vertAlign w:val="subscript"/>
        </w:rPr>
        <w:t>2</w:t>
      </w:r>
      <w:r w:rsidRPr="00415046">
        <w:rPr>
          <w:rFonts w:ascii="Times New Roman" w:hAnsi="Times New Roman" w:cs="Times New Roman"/>
        </w:rPr>
        <w:t xml:space="preserve"> carriers in </w:t>
      </w:r>
      <w:r w:rsidR="00BB7945" w:rsidRPr="00415046">
        <w:rPr>
          <w:rFonts w:ascii="Times New Roman" w:hAnsi="Times New Roman" w:cs="Times New Roman"/>
        </w:rPr>
        <w:t xml:space="preserve">large-scale industry applications, specifically </w:t>
      </w:r>
      <w:r w:rsidRPr="00415046">
        <w:rPr>
          <w:rFonts w:ascii="Times New Roman" w:hAnsi="Times New Roman" w:cs="Times New Roman"/>
        </w:rPr>
        <w:t xml:space="preserve">the iron and steelmaking </w:t>
      </w:r>
      <w:r w:rsidR="00BB7945" w:rsidRPr="00415046">
        <w:rPr>
          <w:rFonts w:ascii="Times New Roman" w:hAnsi="Times New Roman" w:cs="Times New Roman"/>
        </w:rPr>
        <w:t>industry</w:t>
      </w:r>
      <w:r w:rsidRPr="00415046">
        <w:rPr>
          <w:rFonts w:ascii="Times New Roman" w:hAnsi="Times New Roman" w:cs="Times New Roman"/>
        </w:rPr>
        <w:t xml:space="preserve">. </w:t>
      </w:r>
      <w:r w:rsidR="00BB7945" w:rsidRPr="00415046">
        <w:rPr>
          <w:rFonts w:ascii="Times New Roman" w:hAnsi="Times New Roman" w:cs="Times New Roman"/>
        </w:rPr>
        <w:t>S</w:t>
      </w:r>
      <w:r w:rsidRPr="00415046">
        <w:rPr>
          <w:rFonts w:ascii="Times New Roman" w:hAnsi="Times New Roman" w:cs="Times New Roman"/>
        </w:rPr>
        <w:t>afety issues were associated with the design and operation of the electrolyzers as well as storage of the H</w:t>
      </w:r>
      <w:r w:rsidRPr="00415046">
        <w:rPr>
          <w:rFonts w:ascii="Times New Roman" w:hAnsi="Times New Roman" w:cs="Times New Roman"/>
          <w:vertAlign w:val="subscript"/>
        </w:rPr>
        <w:t>2</w:t>
      </w:r>
      <w:r w:rsidRPr="00415046">
        <w:rPr>
          <w:rFonts w:ascii="Times New Roman" w:hAnsi="Times New Roman" w:cs="Times New Roman"/>
        </w:rPr>
        <w:t xml:space="preserve"> and carriers. For example, firewater and its management will require notable siting considerations.</w:t>
      </w:r>
      <w:r w:rsidR="0090667F" w:rsidRPr="00415046">
        <w:rPr>
          <w:rFonts w:ascii="Times New Roman" w:hAnsi="Times New Roman" w:cs="Times New Roman"/>
        </w:rPr>
        <w:t xml:space="preserve"> At the same time, these firewater issues are not new and similar designs have been developed for petrochemical plants.  These design concepts will help guide the design of a </w:t>
      </w:r>
      <w:r w:rsidR="0090667F" w:rsidRPr="00415046">
        <w:rPr>
          <w:rFonts w:ascii="Times New Roman" w:hAnsi="Times New Roman" w:cs="Times New Roman"/>
          <w:bCs/>
        </w:rPr>
        <w:t>H</w:t>
      </w:r>
      <w:r w:rsidR="0090667F" w:rsidRPr="00415046">
        <w:rPr>
          <w:rFonts w:ascii="Times New Roman" w:hAnsi="Times New Roman" w:cs="Times New Roman"/>
          <w:bCs/>
          <w:vertAlign w:val="subscript"/>
        </w:rPr>
        <w:t>2</w:t>
      </w:r>
      <w:r w:rsidR="0090667F" w:rsidRPr="00415046">
        <w:rPr>
          <w:rFonts w:ascii="Times New Roman" w:hAnsi="Times New Roman" w:cs="Times New Roman"/>
        </w:rPr>
        <w:t xml:space="preserve"> carrier facility. In considering the design of a </w:t>
      </w:r>
      <w:r w:rsidR="0090667F" w:rsidRPr="00415046">
        <w:rPr>
          <w:rFonts w:ascii="Times New Roman" w:hAnsi="Times New Roman" w:cs="Times New Roman"/>
          <w:bCs/>
        </w:rPr>
        <w:t>H</w:t>
      </w:r>
      <w:r w:rsidR="0090667F" w:rsidRPr="00415046">
        <w:rPr>
          <w:rFonts w:ascii="Times New Roman" w:hAnsi="Times New Roman" w:cs="Times New Roman"/>
          <w:bCs/>
          <w:vertAlign w:val="subscript"/>
        </w:rPr>
        <w:t>2</w:t>
      </w:r>
      <w:r w:rsidR="0090667F" w:rsidRPr="00415046">
        <w:rPr>
          <w:rFonts w:ascii="Times New Roman" w:hAnsi="Times New Roman" w:cs="Times New Roman"/>
        </w:rPr>
        <w:t xml:space="preserve">-based DRI process, the HSP noted that the instrumentation required for a facility using </w:t>
      </w:r>
      <w:r w:rsidR="0090667F" w:rsidRPr="00415046">
        <w:rPr>
          <w:rFonts w:ascii="Times New Roman" w:hAnsi="Times New Roman" w:cs="Times New Roman"/>
          <w:bCs/>
        </w:rPr>
        <w:t>H</w:t>
      </w:r>
      <w:r w:rsidR="0090667F" w:rsidRPr="00415046">
        <w:rPr>
          <w:rFonts w:ascii="Times New Roman" w:hAnsi="Times New Roman" w:cs="Times New Roman"/>
          <w:bCs/>
          <w:vertAlign w:val="subscript"/>
        </w:rPr>
        <w:t>2</w:t>
      </w:r>
      <w:r w:rsidR="0090667F" w:rsidRPr="00415046">
        <w:rPr>
          <w:rFonts w:ascii="Times New Roman" w:hAnsi="Times New Roman" w:cs="Times New Roman"/>
        </w:rPr>
        <w:t xml:space="preserve"> (e.g. explosion proof electronics) may be challenging to implement in a retrofitted existing process.  This may limit deployment to new iron and steelmaking facilities without policy intervention.</w:t>
      </w:r>
    </w:p>
    <w:p w14:paraId="51649057" w14:textId="77777777" w:rsidR="0090667F" w:rsidRPr="00415046" w:rsidRDefault="0090667F" w:rsidP="007E2130">
      <w:pPr>
        <w:spacing w:before="240" w:after="240" w:line="240" w:lineRule="auto"/>
        <w:rPr>
          <w:rFonts w:ascii="Times New Roman" w:hAnsi="Times New Roman" w:cs="Times New Roman"/>
          <w:i/>
        </w:rPr>
      </w:pPr>
      <w:r w:rsidRPr="00415046">
        <w:rPr>
          <w:rFonts w:ascii="Times New Roman" w:hAnsi="Times New Roman" w:cs="Times New Roman"/>
          <w:i/>
        </w:rPr>
        <w:t>Compressed gas components</w:t>
      </w:r>
    </w:p>
    <w:p w14:paraId="54AA3787" w14:textId="08D18F69"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lastRenderedPageBreak/>
        <w:t>NFPA 55 describes the storage requirements for H</w:t>
      </w:r>
      <w:r w:rsidRPr="00415046">
        <w:rPr>
          <w:rFonts w:ascii="Times New Roman" w:hAnsi="Times New Roman" w:cs="Times New Roman"/>
          <w:vertAlign w:val="subscript"/>
        </w:rPr>
        <w:t>2</w:t>
      </w:r>
      <w:r w:rsidRPr="00415046">
        <w:rPr>
          <w:rFonts w:ascii="Times New Roman" w:hAnsi="Times New Roman" w:cs="Times New Roman"/>
        </w:rPr>
        <w:t>.</w:t>
      </w:r>
      <w:r w:rsidRPr="00415046">
        <w:rPr>
          <w:rFonts w:ascii="Times New Roman" w:hAnsi="Times New Roman" w:cs="Times New Roman"/>
          <w:vertAlign w:val="superscript"/>
        </w:rPr>
        <w:t>21</w:t>
      </w:r>
      <w:r w:rsidRPr="00415046">
        <w:rPr>
          <w:rFonts w:ascii="Times New Roman" w:hAnsi="Times New Roman" w:cs="Times New Roman"/>
        </w:rPr>
        <w:t xml:space="preserve">  Although H</w:t>
      </w:r>
      <w:r w:rsidRPr="00415046">
        <w:rPr>
          <w:rFonts w:ascii="Times New Roman" w:hAnsi="Times New Roman" w:cs="Times New Roman"/>
          <w:vertAlign w:val="subscript"/>
        </w:rPr>
        <w:t>2</w:t>
      </w:r>
      <w:r w:rsidRPr="00415046">
        <w:rPr>
          <w:rFonts w:ascii="Times New Roman" w:hAnsi="Times New Roman" w:cs="Times New Roman"/>
        </w:rPr>
        <w:t xml:space="preserve"> storage materials will be used to store the bulk of the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rPr>
        <w:t xml:space="preserve"> used in the ironmaking process, storage of some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rPr>
        <w:t xml:space="preserve"> ballast will most likely be required to maintain process continuity.  This standard has the most stringent requirements with storing larger than 5000 </w:t>
      </w:r>
      <w:proofErr w:type="spellStart"/>
      <w:r w:rsidRPr="00415046">
        <w:rPr>
          <w:rFonts w:ascii="Times New Roman" w:hAnsi="Times New Roman" w:cs="Times New Roman"/>
        </w:rPr>
        <w:t>scf</w:t>
      </w:r>
      <w:proofErr w:type="spellEnd"/>
      <w:r w:rsidRPr="00415046">
        <w:rPr>
          <w:rFonts w:ascii="Times New Roman" w:hAnsi="Times New Roman" w:cs="Times New Roman"/>
        </w:rPr>
        <w:t xml:space="preserve"> </w:t>
      </w:r>
      <w:r w:rsidR="007E2CA6" w:rsidRPr="00415046">
        <w:rPr>
          <w:rFonts w:ascii="Times New Roman" w:hAnsi="Times New Roman" w:cs="Times New Roman"/>
        </w:rPr>
        <w:t>or 141.6 m</w:t>
      </w:r>
      <w:r w:rsidR="007E2CA6" w:rsidRPr="00415046">
        <w:rPr>
          <w:rFonts w:ascii="Times New Roman" w:hAnsi="Times New Roman" w:cs="Times New Roman"/>
          <w:vertAlign w:val="superscript"/>
        </w:rPr>
        <w:t>3</w:t>
      </w:r>
      <w:r w:rsidR="007E2CA6" w:rsidRPr="00415046">
        <w:rPr>
          <w:rFonts w:ascii="Times New Roman" w:hAnsi="Times New Roman" w:cs="Times New Roman"/>
        </w:rPr>
        <w:t xml:space="preserve"> </w:t>
      </w:r>
      <w:r w:rsidRPr="00415046">
        <w:rPr>
          <w:rFonts w:ascii="Times New Roman" w:hAnsi="Times New Roman" w:cs="Times New Roman"/>
        </w:rPr>
        <w:t xml:space="preserve">of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rPr>
        <w:t xml:space="preserve"> (~ 13 kg H</w:t>
      </w:r>
      <w:r w:rsidRPr="00415046">
        <w:rPr>
          <w:rFonts w:ascii="Times New Roman" w:hAnsi="Times New Roman" w:cs="Times New Roman"/>
          <w:vertAlign w:val="subscript"/>
        </w:rPr>
        <w:t>2</w:t>
      </w:r>
      <w:r w:rsidRPr="00415046">
        <w:rPr>
          <w:rFonts w:ascii="Times New Roman" w:hAnsi="Times New Roman" w:cs="Times New Roman"/>
        </w:rPr>
        <w:t>).  At the required 140 kg H</w:t>
      </w:r>
      <w:r w:rsidRPr="00415046">
        <w:rPr>
          <w:rFonts w:ascii="Times New Roman" w:hAnsi="Times New Roman" w:cs="Times New Roman"/>
          <w:vertAlign w:val="subscript"/>
        </w:rPr>
        <w:t>2</w:t>
      </w:r>
      <w:r w:rsidRPr="00415046">
        <w:rPr>
          <w:rFonts w:ascii="Times New Roman" w:hAnsi="Times New Roman" w:cs="Times New Roman"/>
        </w:rPr>
        <w:t xml:space="preserve">/min feedstock flow rate designated by the project (200 </w:t>
      </w:r>
      <w:r w:rsidR="007E2CA6" w:rsidRPr="00415046">
        <w:rPr>
          <w:rFonts w:ascii="Times New Roman" w:hAnsi="Times New Roman" w:cs="Times New Roman"/>
        </w:rPr>
        <w:t>TPD</w:t>
      </w:r>
      <w:r w:rsidRPr="00415046">
        <w:rPr>
          <w:rFonts w:ascii="Times New Roman" w:hAnsi="Times New Roman" w:cs="Times New Roman"/>
        </w:rPr>
        <w:t xml:space="preserve">), these standards will apply to the steel process.  Requirements include a stand-off distance of </w:t>
      </w:r>
      <w:r w:rsidR="007E2CA6" w:rsidRPr="00415046">
        <w:rPr>
          <w:rFonts w:ascii="Times New Roman" w:hAnsi="Times New Roman" w:cs="Times New Roman"/>
        </w:rPr>
        <w:t xml:space="preserve">4.6 m </w:t>
      </w:r>
      <w:r w:rsidRPr="00415046">
        <w:rPr>
          <w:rFonts w:ascii="Times New Roman" w:hAnsi="Times New Roman" w:cs="Times New Roman"/>
        </w:rPr>
        <w:t xml:space="preserve">from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storage container to any above ground storage of flammable or combustible liquids (H</w:t>
      </w:r>
      <w:r w:rsidRPr="00415046">
        <w:rPr>
          <w:rFonts w:ascii="Times New Roman" w:hAnsi="Times New Roman" w:cs="Times New Roman"/>
          <w:vertAlign w:val="subscript"/>
        </w:rPr>
        <w:t>2</w:t>
      </w:r>
      <w:r w:rsidRPr="00415046">
        <w:rPr>
          <w:rFonts w:ascii="Times New Roman" w:hAnsi="Times New Roman" w:cs="Times New Roman"/>
        </w:rPr>
        <w:t xml:space="preserve"> carrier) except if systems are available to prevent accumulation in the event of a tank failure.  Furthermore, piping should also have a separation distance based on the pressure in the pipe and what is being exposed (persons, buildings, flammable gases, </w:t>
      </w:r>
      <w:proofErr w:type="spellStart"/>
      <w:r w:rsidRPr="00415046">
        <w:rPr>
          <w:rFonts w:ascii="Times New Roman" w:hAnsi="Times New Roman" w:cs="Times New Roman"/>
        </w:rPr>
        <w:t>etc</w:t>
      </w:r>
      <w:proofErr w:type="spellEnd"/>
      <w:r w:rsidRPr="00415046">
        <w:rPr>
          <w:rFonts w:ascii="Times New Roman" w:hAnsi="Times New Roman" w:cs="Times New Roman"/>
        </w:rPr>
        <w:t xml:space="preserve">).  The standard considers 2” ID pipes as “large.”  For these pipes, if they are at high pressures (50-103 bar), they require separation distances up to </w:t>
      </w:r>
      <w:r w:rsidR="007E2CA6" w:rsidRPr="00415046">
        <w:rPr>
          <w:rFonts w:ascii="Times New Roman" w:hAnsi="Times New Roman" w:cs="Times New Roman"/>
        </w:rPr>
        <w:t>30</w:t>
      </w:r>
      <w:r w:rsidRPr="00415046">
        <w:rPr>
          <w:rFonts w:ascii="Times New Roman" w:hAnsi="Times New Roman" w:cs="Times New Roman"/>
        </w:rPr>
        <w:t xml:space="preserve"> </w:t>
      </w:r>
      <w:r w:rsidR="007E2CA6" w:rsidRPr="00415046">
        <w:rPr>
          <w:rFonts w:ascii="Times New Roman" w:hAnsi="Times New Roman" w:cs="Times New Roman"/>
        </w:rPr>
        <w:t>m</w:t>
      </w:r>
      <w:r w:rsidRPr="00415046">
        <w:rPr>
          <w:rFonts w:ascii="Times New Roman" w:hAnsi="Times New Roman" w:cs="Times New Roman"/>
        </w:rPr>
        <w:t xml:space="preserve">.  Separation distances required for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storage may play a key role in safely designing a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-based ironmaking facility.</w:t>
      </w:r>
    </w:p>
    <w:p w14:paraId="6C65FF23" w14:textId="77777777" w:rsidR="0090667F" w:rsidRPr="00415046" w:rsidRDefault="0090667F" w:rsidP="007E2130">
      <w:pPr>
        <w:spacing w:before="240" w:after="240" w:line="240" w:lineRule="auto"/>
        <w:rPr>
          <w:rFonts w:ascii="Times New Roman" w:hAnsi="Times New Roman" w:cs="Times New Roman"/>
          <w:i/>
        </w:rPr>
      </w:pPr>
      <w:r w:rsidRPr="00415046">
        <w:rPr>
          <w:rFonts w:ascii="Times New Roman" w:hAnsi="Times New Roman" w:cs="Times New Roman"/>
          <w:i/>
        </w:rPr>
        <w:t>TOL/MCH safety and land footprint</w:t>
      </w:r>
    </w:p>
    <w:p w14:paraId="212122B1" w14:textId="2786C001"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The HSP </w:t>
      </w:r>
      <w:r w:rsidR="00A46B91" w:rsidRPr="00415046">
        <w:rPr>
          <w:rFonts w:ascii="Times New Roman" w:hAnsi="Times New Roman" w:cs="Times New Roman"/>
        </w:rPr>
        <w:t xml:space="preserve">noted the need to consider </w:t>
      </w:r>
      <w:r w:rsidRPr="00415046">
        <w:rPr>
          <w:rFonts w:ascii="Times New Roman" w:hAnsi="Times New Roman" w:cs="Times New Roman"/>
        </w:rPr>
        <w:t xml:space="preserve">the total footprint of the </w:t>
      </w:r>
      <w:r w:rsidR="0092320A" w:rsidRPr="00415046">
        <w:rPr>
          <w:rFonts w:ascii="Times New Roman" w:hAnsi="Times New Roman" w:cs="Times New Roman"/>
          <w:bCs/>
        </w:rPr>
        <w:t>H</w:t>
      </w:r>
      <w:r w:rsidR="0092320A" w:rsidRPr="00415046">
        <w:rPr>
          <w:rFonts w:ascii="Times New Roman" w:hAnsi="Times New Roman" w:cs="Times New Roman"/>
          <w:bCs/>
          <w:vertAlign w:val="subscript"/>
        </w:rPr>
        <w:t>2</w:t>
      </w:r>
      <w:r w:rsidRPr="00415046">
        <w:rPr>
          <w:rFonts w:ascii="Times New Roman" w:hAnsi="Times New Roman" w:cs="Times New Roman"/>
        </w:rPr>
        <w:t xml:space="preserve"> carrier tanks and their stand-off distance.  The HSP indicated that NFPA 30 code requires spatial separation of Class 1 flammable liquid of at least </w:t>
      </w:r>
      <w:r w:rsidR="00F36809" w:rsidRPr="00415046">
        <w:rPr>
          <w:rFonts w:ascii="Times New Roman" w:hAnsi="Times New Roman" w:cs="Times New Roman"/>
        </w:rPr>
        <w:t xml:space="preserve">15.2 m (50 ft) </w:t>
      </w:r>
      <w:r w:rsidRPr="00415046">
        <w:rPr>
          <w:rFonts w:ascii="Times New Roman" w:hAnsi="Times New Roman" w:cs="Times New Roman"/>
        </w:rPr>
        <w:t>and dikes around tank.</w:t>
      </w:r>
      <w:r w:rsidRPr="00415046">
        <w:rPr>
          <w:rFonts w:ascii="Times New Roman" w:hAnsi="Times New Roman" w:cs="Times New Roman"/>
          <w:vertAlign w:val="superscript"/>
        </w:rPr>
        <w:t>22</w:t>
      </w:r>
      <w:r w:rsidRPr="00415046">
        <w:rPr>
          <w:rFonts w:ascii="Times New Roman" w:hAnsi="Times New Roman" w:cs="Times New Roman"/>
        </w:rPr>
        <w:t xml:space="preserve">  The concern is that the size of the tanks and their required stand-off will be larger than is acceptable in an industrial area where land is at a premium. Calculations were performed to estimate the size of the tanks and determine the acreage required for storage of MCH and </w:t>
      </w:r>
      <w:r w:rsidR="00852FCA" w:rsidRPr="00415046">
        <w:rPr>
          <w:rFonts w:ascii="Times New Roman" w:hAnsi="Times New Roman" w:cs="Times New Roman"/>
        </w:rPr>
        <w:t>TOL</w:t>
      </w:r>
      <w:r w:rsidRPr="00415046">
        <w:rPr>
          <w:rFonts w:ascii="Times New Roman" w:hAnsi="Times New Roman" w:cs="Times New Roman"/>
        </w:rPr>
        <w:t xml:space="preserve">. Gasoline/diesel tanks with internal volume of </w:t>
      </w:r>
      <w:r w:rsidR="007E2CA6" w:rsidRPr="00415046">
        <w:rPr>
          <w:rFonts w:ascii="Times New Roman" w:hAnsi="Times New Roman" w:cs="Times New Roman"/>
        </w:rPr>
        <w:t xml:space="preserve">15.6 </w:t>
      </w:r>
      <w:r w:rsidRPr="00415046">
        <w:rPr>
          <w:rFonts w:ascii="Times New Roman" w:hAnsi="Times New Roman" w:cs="Times New Roman"/>
        </w:rPr>
        <w:t xml:space="preserve">million </w:t>
      </w:r>
      <w:r w:rsidR="007E2CA6" w:rsidRPr="00415046">
        <w:rPr>
          <w:rFonts w:ascii="Times New Roman" w:hAnsi="Times New Roman" w:cs="Times New Roman"/>
        </w:rPr>
        <w:t>liters</w:t>
      </w:r>
      <w:r w:rsidRPr="00415046">
        <w:rPr>
          <w:rFonts w:ascii="Times New Roman" w:hAnsi="Times New Roman" w:cs="Times New Roman"/>
        </w:rPr>
        <w:t xml:space="preserve"> like that constructed in Phoenix, AZ by </w:t>
      </w:r>
      <w:proofErr w:type="spellStart"/>
      <w:r w:rsidRPr="00415046">
        <w:rPr>
          <w:rFonts w:ascii="Times New Roman" w:hAnsi="Times New Roman" w:cs="Times New Roman"/>
        </w:rPr>
        <w:t>CalJet</w:t>
      </w:r>
      <w:proofErr w:type="spellEnd"/>
      <w:r w:rsidRPr="00415046">
        <w:rPr>
          <w:rFonts w:ascii="Times New Roman" w:hAnsi="Times New Roman" w:cs="Times New Roman"/>
        </w:rPr>
        <w:t xml:space="preserve"> were assumed.</w:t>
      </w:r>
      <w:r w:rsidRPr="00415046">
        <w:rPr>
          <w:rFonts w:ascii="Times New Roman" w:hAnsi="Times New Roman" w:cs="Times New Roman"/>
          <w:vertAlign w:val="superscript"/>
        </w:rPr>
        <w:t>23</w:t>
      </w:r>
      <w:r w:rsidRPr="00415046">
        <w:rPr>
          <w:rFonts w:ascii="Times New Roman" w:hAnsi="Times New Roman" w:cs="Times New Roman"/>
        </w:rPr>
        <w:t xml:space="preserve">  For the volumes MCH and </w:t>
      </w:r>
      <w:r w:rsidR="00852FCA" w:rsidRPr="00415046">
        <w:rPr>
          <w:rFonts w:ascii="Times New Roman" w:hAnsi="Times New Roman" w:cs="Times New Roman"/>
        </w:rPr>
        <w:t>TOL</w:t>
      </w:r>
      <w:r w:rsidRPr="00415046">
        <w:rPr>
          <w:rFonts w:ascii="Times New Roman" w:hAnsi="Times New Roman" w:cs="Times New Roman"/>
        </w:rPr>
        <w:t xml:space="preserve"> required </w:t>
      </w:r>
      <w:r w:rsidR="00087E6B" w:rsidRPr="00415046">
        <w:rPr>
          <w:rFonts w:ascii="Times New Roman" w:hAnsi="Times New Roman" w:cs="Times New Roman"/>
        </w:rPr>
        <w:t>for the 200 TPD case study system</w:t>
      </w:r>
      <w:r w:rsidRPr="00415046">
        <w:rPr>
          <w:rFonts w:ascii="Times New Roman" w:hAnsi="Times New Roman" w:cs="Times New Roman"/>
        </w:rPr>
        <w:t xml:space="preserve">, </w:t>
      </w:r>
      <w:r w:rsidR="00087E6B" w:rsidRPr="00415046">
        <w:rPr>
          <w:rFonts w:ascii="Times New Roman" w:hAnsi="Times New Roman" w:cs="Times New Roman"/>
        </w:rPr>
        <w:t xml:space="preserve">we estimate that </w:t>
      </w:r>
      <w:r w:rsidRPr="00415046">
        <w:rPr>
          <w:rFonts w:ascii="Times New Roman" w:hAnsi="Times New Roman" w:cs="Times New Roman"/>
        </w:rPr>
        <w:t xml:space="preserve">seven tanks would be required.  Using a stand-off distance of </w:t>
      </w:r>
      <w:r w:rsidR="007E2CA6" w:rsidRPr="00415046">
        <w:rPr>
          <w:rFonts w:ascii="Times New Roman" w:hAnsi="Times New Roman" w:cs="Times New Roman"/>
        </w:rPr>
        <w:t>15.2</w:t>
      </w:r>
      <w:r w:rsidRPr="00415046">
        <w:rPr>
          <w:rFonts w:ascii="Times New Roman" w:hAnsi="Times New Roman" w:cs="Times New Roman"/>
        </w:rPr>
        <w:t xml:space="preserve"> </w:t>
      </w:r>
      <w:r w:rsidR="007E2CA6" w:rsidRPr="00415046">
        <w:rPr>
          <w:rFonts w:ascii="Times New Roman" w:hAnsi="Times New Roman" w:cs="Times New Roman"/>
        </w:rPr>
        <w:t xml:space="preserve">m </w:t>
      </w:r>
      <w:r w:rsidRPr="00415046">
        <w:rPr>
          <w:rFonts w:ascii="Times New Roman" w:hAnsi="Times New Roman" w:cs="Times New Roman"/>
        </w:rPr>
        <w:t xml:space="preserve">the total footprint required for the tanks would be </w:t>
      </w:r>
      <w:r w:rsidR="007E2CA6" w:rsidRPr="00415046">
        <w:rPr>
          <w:rFonts w:ascii="Times New Roman" w:hAnsi="Times New Roman" w:cs="Times New Roman"/>
        </w:rPr>
        <w:t>13,759 m</w:t>
      </w:r>
      <w:r w:rsidR="007E2CA6" w:rsidRPr="00415046">
        <w:rPr>
          <w:rFonts w:ascii="Times New Roman" w:hAnsi="Times New Roman" w:cs="Times New Roman"/>
          <w:vertAlign w:val="superscript"/>
        </w:rPr>
        <w:t>2</w:t>
      </w:r>
      <w:r w:rsidR="007E2CA6" w:rsidRPr="00415046">
        <w:rPr>
          <w:rFonts w:ascii="Times New Roman" w:hAnsi="Times New Roman" w:cs="Times New Roman"/>
        </w:rPr>
        <w:t xml:space="preserve"> (</w:t>
      </w:r>
      <w:r w:rsidRPr="00415046">
        <w:rPr>
          <w:rFonts w:ascii="Times New Roman" w:hAnsi="Times New Roman" w:cs="Times New Roman"/>
        </w:rPr>
        <w:t>3.4 acres</w:t>
      </w:r>
      <w:r w:rsidR="007E2CA6" w:rsidRPr="00415046">
        <w:rPr>
          <w:rFonts w:ascii="Times New Roman" w:hAnsi="Times New Roman" w:cs="Times New Roman"/>
        </w:rPr>
        <w:t>)</w:t>
      </w:r>
      <w:r w:rsidRPr="00415046">
        <w:rPr>
          <w:rFonts w:ascii="Times New Roman" w:hAnsi="Times New Roman" w:cs="Times New Roman"/>
        </w:rPr>
        <w:t xml:space="preserve">.  NFPA requirements may be more complicated than simply a </w:t>
      </w:r>
      <w:r w:rsidR="007E2CA6" w:rsidRPr="00415046">
        <w:rPr>
          <w:rFonts w:ascii="Times New Roman" w:hAnsi="Times New Roman" w:cs="Times New Roman"/>
        </w:rPr>
        <w:t>15.2 m</w:t>
      </w:r>
      <w:r w:rsidRPr="00415046">
        <w:rPr>
          <w:rFonts w:ascii="Times New Roman" w:hAnsi="Times New Roman" w:cs="Times New Roman"/>
        </w:rPr>
        <w:t xml:space="preserve"> stand-off depending upon the tank and secondary containment design.  NFPA 30 for example states that for Class I and II tanks the stand-off should be 1/6 * sum of adjacent tank diameters.  In the case of the </w:t>
      </w:r>
      <w:r w:rsidR="007E2CA6" w:rsidRPr="00415046">
        <w:rPr>
          <w:rFonts w:ascii="Times New Roman" w:hAnsi="Times New Roman" w:cs="Times New Roman"/>
        </w:rPr>
        <w:t>15.6</w:t>
      </w:r>
      <w:r w:rsidRPr="00415046">
        <w:rPr>
          <w:rFonts w:ascii="Times New Roman" w:hAnsi="Times New Roman" w:cs="Times New Roman"/>
        </w:rPr>
        <w:t>-million-</w:t>
      </w:r>
      <w:r w:rsidR="007E2CA6" w:rsidRPr="00415046">
        <w:rPr>
          <w:rFonts w:ascii="Times New Roman" w:hAnsi="Times New Roman" w:cs="Times New Roman"/>
        </w:rPr>
        <w:t>liter</w:t>
      </w:r>
      <w:r w:rsidRPr="00415046">
        <w:rPr>
          <w:rFonts w:ascii="Times New Roman" w:hAnsi="Times New Roman" w:cs="Times New Roman"/>
        </w:rPr>
        <w:t xml:space="preserve"> tanks with a </w:t>
      </w:r>
      <w:r w:rsidR="007E2CA6" w:rsidRPr="00415046">
        <w:rPr>
          <w:rFonts w:ascii="Times New Roman" w:hAnsi="Times New Roman" w:cs="Times New Roman"/>
        </w:rPr>
        <w:t>31.7</w:t>
      </w:r>
      <w:r w:rsidRPr="00415046">
        <w:rPr>
          <w:rFonts w:ascii="Times New Roman" w:hAnsi="Times New Roman" w:cs="Times New Roman"/>
        </w:rPr>
        <w:t xml:space="preserve"> </w:t>
      </w:r>
      <w:r w:rsidR="007E2CA6" w:rsidRPr="00415046">
        <w:rPr>
          <w:rFonts w:ascii="Times New Roman" w:hAnsi="Times New Roman" w:cs="Times New Roman"/>
        </w:rPr>
        <w:t>m</w:t>
      </w:r>
      <w:r w:rsidRPr="00415046">
        <w:rPr>
          <w:rFonts w:ascii="Times New Roman" w:hAnsi="Times New Roman" w:cs="Times New Roman"/>
        </w:rPr>
        <w:t xml:space="preserve"> diameter, they would be surrounded by four tanks resulting in a </w:t>
      </w:r>
      <w:r w:rsidR="007E2CA6" w:rsidRPr="00415046">
        <w:rPr>
          <w:rFonts w:ascii="Times New Roman" w:hAnsi="Times New Roman" w:cs="Times New Roman"/>
        </w:rPr>
        <w:t>21.3</w:t>
      </w:r>
      <w:r w:rsidRPr="00415046">
        <w:rPr>
          <w:rFonts w:ascii="Times New Roman" w:hAnsi="Times New Roman" w:cs="Times New Roman"/>
        </w:rPr>
        <w:t xml:space="preserve"> </w:t>
      </w:r>
      <w:r w:rsidR="007E2CA6" w:rsidRPr="00415046">
        <w:rPr>
          <w:rFonts w:ascii="Times New Roman" w:hAnsi="Times New Roman" w:cs="Times New Roman"/>
        </w:rPr>
        <w:t>m</w:t>
      </w:r>
      <w:r w:rsidRPr="00415046">
        <w:rPr>
          <w:rFonts w:ascii="Times New Roman" w:hAnsi="Times New Roman" w:cs="Times New Roman"/>
        </w:rPr>
        <w:t xml:space="preserve"> stand-off.  Furthermore, NFPA 30 requires dikes or other means of controlling spillage from the tank.  This design requirement states that “secondary containment shall be designed to withstand the hydrostatic head resulting from a leak from the primary tank of a maximum amount of liquid that can be stored in the primary tank”.</w:t>
      </w:r>
      <w:r w:rsidRPr="00415046">
        <w:rPr>
          <w:rFonts w:ascii="Times New Roman" w:hAnsi="Times New Roman" w:cs="Times New Roman"/>
          <w:vertAlign w:val="superscript"/>
        </w:rPr>
        <w:t>22</w:t>
      </w:r>
      <w:r w:rsidRPr="00415046">
        <w:rPr>
          <w:rFonts w:ascii="Times New Roman" w:hAnsi="Times New Roman" w:cs="Times New Roman"/>
        </w:rPr>
        <w:t xml:space="preserve"> The design can vary, but it is generally 100% of the volume of the largest container for bulk storage.</w:t>
      </w:r>
    </w:p>
    <w:p w14:paraId="0F3CA251" w14:textId="78824523"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In addition to separation from other tanks, Class I tanks require a standoff from the public and any buildings.  For the tanks suggested, this distance could be between ½ the diameter of the tank to as much as </w:t>
      </w:r>
      <w:r w:rsidR="005F68E7" w:rsidRPr="00415046">
        <w:rPr>
          <w:rFonts w:ascii="Times New Roman" w:hAnsi="Times New Roman" w:cs="Times New Roman"/>
        </w:rPr>
        <w:t>53</w:t>
      </w:r>
      <w:r w:rsidR="00F36809" w:rsidRPr="00415046">
        <w:rPr>
          <w:rFonts w:ascii="Times New Roman" w:hAnsi="Times New Roman" w:cs="Times New Roman"/>
        </w:rPr>
        <w:t>.3</w:t>
      </w:r>
      <w:r w:rsidRPr="00415046">
        <w:rPr>
          <w:rFonts w:ascii="Times New Roman" w:hAnsi="Times New Roman" w:cs="Times New Roman"/>
        </w:rPr>
        <w:t xml:space="preserve"> </w:t>
      </w:r>
      <w:r w:rsidR="00F36809" w:rsidRPr="00415046">
        <w:rPr>
          <w:rFonts w:ascii="Times New Roman" w:hAnsi="Times New Roman" w:cs="Times New Roman"/>
        </w:rPr>
        <w:t>m</w:t>
      </w:r>
      <w:r w:rsidRPr="00415046">
        <w:rPr>
          <w:rFonts w:ascii="Times New Roman" w:hAnsi="Times New Roman" w:cs="Times New Roman"/>
        </w:rPr>
        <w:t xml:space="preserve">, depending upon the tank design and its safety systems. </w:t>
      </w:r>
    </w:p>
    <w:p w14:paraId="242BB1E1" w14:textId="45DBB61B"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In contrast to the large separation distance required for Class 1 flammable liquids such as </w:t>
      </w:r>
      <w:r w:rsidR="00852FCA" w:rsidRPr="00415046">
        <w:rPr>
          <w:rFonts w:ascii="Times New Roman" w:hAnsi="Times New Roman" w:cs="Times New Roman"/>
        </w:rPr>
        <w:t>TOL</w:t>
      </w:r>
      <w:r w:rsidRPr="00415046">
        <w:rPr>
          <w:rFonts w:ascii="Times New Roman" w:hAnsi="Times New Roman" w:cs="Times New Roman"/>
        </w:rPr>
        <w:t xml:space="preserve"> and MCH, NFPA states that for Class IIIB, such as alternative material </w:t>
      </w:r>
      <w:proofErr w:type="spellStart"/>
      <w:r w:rsidR="006368A1" w:rsidRPr="00415046">
        <w:rPr>
          <w:rFonts w:ascii="Times New Roman" w:hAnsi="Times New Roman" w:cs="Times New Roman"/>
        </w:rPr>
        <w:t>dibenzyltoluene</w:t>
      </w:r>
      <w:proofErr w:type="spellEnd"/>
      <w:r w:rsidR="006368A1" w:rsidRPr="00415046">
        <w:rPr>
          <w:rFonts w:ascii="Times New Roman" w:hAnsi="Times New Roman" w:cs="Times New Roman"/>
        </w:rPr>
        <w:t xml:space="preserve"> (</w:t>
      </w:r>
      <w:r w:rsidRPr="00415046">
        <w:rPr>
          <w:rFonts w:ascii="Times New Roman" w:hAnsi="Times New Roman" w:cs="Times New Roman"/>
        </w:rPr>
        <w:t>DBT</w:t>
      </w:r>
      <w:r w:rsidR="006368A1" w:rsidRPr="00415046">
        <w:rPr>
          <w:rFonts w:ascii="Times New Roman" w:hAnsi="Times New Roman" w:cs="Times New Roman"/>
        </w:rPr>
        <w:t>)</w:t>
      </w:r>
      <w:r w:rsidRPr="00415046">
        <w:rPr>
          <w:rFonts w:ascii="Times New Roman" w:hAnsi="Times New Roman" w:cs="Times New Roman"/>
        </w:rPr>
        <w:t xml:space="preserve">, separation distances of no more than </w:t>
      </w:r>
      <w:r w:rsidR="00F36809" w:rsidRPr="00415046">
        <w:rPr>
          <w:rFonts w:ascii="Times New Roman" w:hAnsi="Times New Roman" w:cs="Times New Roman"/>
        </w:rPr>
        <w:t>0.9 m</w:t>
      </w:r>
      <w:r w:rsidRPr="00415046">
        <w:rPr>
          <w:rFonts w:ascii="Times New Roman" w:hAnsi="Times New Roman" w:cs="Times New Roman"/>
        </w:rPr>
        <w:t xml:space="preserve"> between tanks are required as long as the tank is not next to a Class I or II material.  This would be the case if an alternative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 such as DBT were used instead. Additionally, the tank can be as close as </w:t>
      </w:r>
      <w:r w:rsidR="00F36809" w:rsidRPr="00415046">
        <w:rPr>
          <w:rFonts w:ascii="Times New Roman" w:hAnsi="Times New Roman" w:cs="Times New Roman"/>
        </w:rPr>
        <w:t>4.6</w:t>
      </w:r>
      <w:r w:rsidRPr="00415046">
        <w:rPr>
          <w:rFonts w:ascii="Times New Roman" w:hAnsi="Times New Roman" w:cs="Times New Roman"/>
        </w:rPr>
        <w:t xml:space="preserve"> ft from the public or a building.  These smaller stand-off distances could make a significant difference in the total space required for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 system and ultimately the cost of the system. </w:t>
      </w:r>
    </w:p>
    <w:p w14:paraId="50DB406D" w14:textId="515B74E2" w:rsidR="0090667F" w:rsidRPr="00415046" w:rsidRDefault="0090667F" w:rsidP="007E2130">
      <w:pPr>
        <w:spacing w:before="240" w:after="240" w:line="240" w:lineRule="auto"/>
        <w:rPr>
          <w:rFonts w:ascii="Times New Roman" w:hAnsi="Times New Roman" w:cs="Times New Roman"/>
          <w:i/>
        </w:rPr>
      </w:pPr>
      <w:r w:rsidRPr="00415046">
        <w:rPr>
          <w:rFonts w:ascii="Times New Roman" w:hAnsi="Times New Roman" w:cs="Times New Roman"/>
          <w:i/>
        </w:rPr>
        <w:t>Emissions and controls</w:t>
      </w:r>
    </w:p>
    <w:p w14:paraId="16A95DD4" w14:textId="18E60ED1"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Additional areas of </w:t>
      </w:r>
      <w:r w:rsidR="00A46B91" w:rsidRPr="00415046">
        <w:rPr>
          <w:rFonts w:ascii="Times New Roman" w:hAnsi="Times New Roman" w:cs="Times New Roman"/>
        </w:rPr>
        <w:t>note</w:t>
      </w:r>
      <w:r w:rsidRPr="00415046">
        <w:rPr>
          <w:rFonts w:ascii="Times New Roman" w:hAnsi="Times New Roman" w:cs="Times New Roman"/>
        </w:rPr>
        <w:t xml:space="preserve"> for the storage of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carriers are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gas that is soluble and may come out of the liquid and into the tank head space during normal ambient temperature swings and the vaporization of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 itself.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release could occur due to daily or seasonal temperature changes or during the depressurization after hydrogenation. To address these </w:t>
      </w:r>
      <w:r w:rsidR="00A46B91" w:rsidRPr="00415046">
        <w:rPr>
          <w:rFonts w:ascii="Times New Roman" w:hAnsi="Times New Roman" w:cs="Times New Roman"/>
        </w:rPr>
        <w:t>suggestions</w:t>
      </w:r>
      <w:r w:rsidRPr="00415046">
        <w:rPr>
          <w:rFonts w:ascii="Times New Roman" w:hAnsi="Times New Roman" w:cs="Times New Roman"/>
        </w:rPr>
        <w:t xml:space="preserve">, the solubility of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at </w:t>
      </w:r>
      <w:r w:rsidR="00725DE1" w:rsidRPr="00415046">
        <w:rPr>
          <w:rFonts w:ascii="Times New Roman" w:hAnsi="Times New Roman" w:cs="Times New Roman"/>
        </w:rPr>
        <w:t>3</w:t>
      </w:r>
      <w:r w:rsidRPr="00415046">
        <w:rPr>
          <w:rFonts w:ascii="Times New Roman" w:hAnsi="Times New Roman" w:cs="Times New Roman"/>
        </w:rPr>
        <w:t xml:space="preserve">4 and </w:t>
      </w:r>
      <w:r w:rsidR="00725DE1" w:rsidRPr="00415046">
        <w:rPr>
          <w:rFonts w:ascii="Times New Roman" w:hAnsi="Times New Roman" w:cs="Times New Roman"/>
        </w:rPr>
        <w:t>-</w:t>
      </w:r>
      <w:r w:rsidR="00725DE1" w:rsidRPr="00415046">
        <w:rPr>
          <w:rFonts w:ascii="Times New Roman" w:hAnsi="Times New Roman" w:cs="Times New Roman"/>
        </w:rPr>
        <w:lastRenderedPageBreak/>
        <w:t>15.6</w:t>
      </w:r>
      <w:r w:rsidR="00F36809" w:rsidRPr="00415046">
        <w:rPr>
          <w:rFonts w:ascii="Times New Roman" w:hAnsi="Times New Roman" w:cs="Times New Roman"/>
        </w:rPr>
        <w:t xml:space="preserve"> </w:t>
      </w:r>
      <w:r w:rsidRPr="00415046">
        <w:rPr>
          <w:rFonts w:ascii="Times New Roman" w:hAnsi="Times New Roman" w:cs="Times New Roman"/>
        </w:rPr>
        <w:t>°</w:t>
      </w:r>
      <w:r w:rsidR="00725DE1" w:rsidRPr="00415046">
        <w:rPr>
          <w:rFonts w:ascii="Times New Roman" w:hAnsi="Times New Roman" w:cs="Times New Roman"/>
        </w:rPr>
        <w:t xml:space="preserve">C </w:t>
      </w:r>
      <w:r w:rsidRPr="00415046">
        <w:rPr>
          <w:rFonts w:ascii="Times New Roman" w:hAnsi="Times New Roman" w:cs="Times New Roman"/>
        </w:rPr>
        <w:t xml:space="preserve">was calculated and the mass of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determined per tank.</w:t>
      </w:r>
      <w:r w:rsidRPr="00415046">
        <w:rPr>
          <w:rFonts w:ascii="Times New Roman" w:hAnsi="Times New Roman" w:cs="Times New Roman"/>
          <w:vertAlign w:val="superscript"/>
        </w:rPr>
        <w:t>24</w:t>
      </w:r>
      <w:r w:rsidRPr="00415046">
        <w:rPr>
          <w:rFonts w:ascii="Times New Roman" w:hAnsi="Times New Roman" w:cs="Times New Roman"/>
        </w:rPr>
        <w:t xml:space="preserve">  For </w:t>
      </w:r>
      <w:r w:rsidR="00852FCA" w:rsidRPr="00415046">
        <w:rPr>
          <w:rFonts w:ascii="Times New Roman" w:hAnsi="Times New Roman" w:cs="Times New Roman"/>
        </w:rPr>
        <w:t>TOL</w:t>
      </w:r>
      <w:r w:rsidRPr="00415046">
        <w:rPr>
          <w:rFonts w:ascii="Times New Roman" w:hAnsi="Times New Roman" w:cs="Times New Roman"/>
        </w:rPr>
        <w:t xml:space="preserve"> this change in temperature results in 31.4 kg/tank (assuming the tank size of </w:t>
      </w:r>
      <w:r w:rsidR="00725DE1" w:rsidRPr="00415046">
        <w:rPr>
          <w:rFonts w:ascii="Times New Roman" w:hAnsi="Times New Roman" w:cs="Times New Roman"/>
        </w:rPr>
        <w:t>15.6</w:t>
      </w:r>
      <w:r w:rsidRPr="00415046">
        <w:rPr>
          <w:rFonts w:ascii="Times New Roman" w:hAnsi="Times New Roman" w:cs="Times New Roman"/>
        </w:rPr>
        <w:t xml:space="preserve"> million </w:t>
      </w:r>
      <w:r w:rsidR="00725DE1" w:rsidRPr="00415046">
        <w:rPr>
          <w:rFonts w:ascii="Times New Roman" w:hAnsi="Times New Roman" w:cs="Times New Roman"/>
        </w:rPr>
        <w:t>L</w:t>
      </w:r>
      <w:r w:rsidRPr="00415046">
        <w:rPr>
          <w:rFonts w:ascii="Times New Roman" w:hAnsi="Times New Roman" w:cs="Times New Roman"/>
        </w:rPr>
        <w:t xml:space="preserve"> described above) coming out of solution and into the tank headspace.  Alternatively, a pressure </w:t>
      </w:r>
      <w:proofErr w:type="gramStart"/>
      <w:r w:rsidRPr="00415046">
        <w:rPr>
          <w:rFonts w:ascii="Times New Roman" w:hAnsi="Times New Roman" w:cs="Times New Roman"/>
        </w:rPr>
        <w:t>change</w:t>
      </w:r>
      <w:proofErr w:type="gramEnd"/>
      <w:r w:rsidRPr="00415046">
        <w:rPr>
          <w:rFonts w:ascii="Times New Roman" w:hAnsi="Times New Roman" w:cs="Times New Roman"/>
        </w:rPr>
        <w:t xml:space="preserve"> from 10 to 1 bar due to depressurization after hydrogenation results in approximately 1</w:t>
      </w:r>
      <w:r w:rsidR="00DC3AE6" w:rsidRPr="00415046">
        <w:rPr>
          <w:rFonts w:ascii="Times New Roman" w:hAnsi="Times New Roman" w:cs="Times New Roman"/>
        </w:rPr>
        <w:t>,</w:t>
      </w:r>
      <w:r w:rsidRPr="00415046">
        <w:rPr>
          <w:rFonts w:ascii="Times New Roman" w:hAnsi="Times New Roman" w:cs="Times New Roman"/>
        </w:rPr>
        <w:t xml:space="preserve">050 kg/tank coming out of solution and into the tank headspace.  This volume is more significant and may require special designed process to address. MCH and </w:t>
      </w:r>
      <w:r w:rsidR="00852FCA" w:rsidRPr="00415046">
        <w:rPr>
          <w:rFonts w:ascii="Times New Roman" w:hAnsi="Times New Roman" w:cs="Times New Roman"/>
        </w:rPr>
        <w:t xml:space="preserve">TOL </w:t>
      </w:r>
      <w:r w:rsidRPr="00415046">
        <w:rPr>
          <w:rFonts w:ascii="Times New Roman" w:hAnsi="Times New Roman" w:cs="Times New Roman"/>
        </w:rPr>
        <w:t xml:space="preserve">have a vapor pressure at normal ambient temperatures.  As a result, gas vapors must be dealt with during storage.  Fortunately, floating lid tanks already address the issues of vapors in the petrochemical industry.  This would include emission controls and vapor recovery systems as well as required electrical and wiring issues around the tanks.  As the design is developed, the regulations associated with volatile organic compounds (VOCs) must be addressed. </w:t>
      </w:r>
    </w:p>
    <w:p w14:paraId="7A813ABF" w14:textId="3C9FD74C"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The carrier vapor issues associated with MCH and </w:t>
      </w:r>
      <w:r w:rsidR="00852FCA" w:rsidRPr="00415046">
        <w:rPr>
          <w:rFonts w:ascii="Times New Roman" w:hAnsi="Times New Roman" w:cs="Times New Roman"/>
        </w:rPr>
        <w:t>TOL</w:t>
      </w:r>
      <w:r w:rsidRPr="00415046">
        <w:rPr>
          <w:rFonts w:ascii="Times New Roman" w:hAnsi="Times New Roman" w:cs="Times New Roman"/>
        </w:rPr>
        <w:t xml:space="preserve"> would be mitigated with DBT and heavier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carriers.  The emission controls for a Class IIIB combustible liquid would be greatly reduced.  Furthermore, Class I, II and IIIA liquids require emergency venting using a device to relieve excessive pressure while Class IIIB tanks do not require venting.  These measures may reduce the cost of the tank system. </w:t>
      </w:r>
    </w:p>
    <w:p w14:paraId="5B13463D" w14:textId="1484C3C0" w:rsidR="0090667F" w:rsidRPr="00415046" w:rsidRDefault="0090667F" w:rsidP="007E2130">
      <w:pPr>
        <w:spacing w:before="240" w:after="240" w:line="240" w:lineRule="auto"/>
        <w:rPr>
          <w:rFonts w:ascii="Times New Roman" w:hAnsi="Times New Roman" w:cs="Times New Roman"/>
          <w:i/>
        </w:rPr>
      </w:pPr>
      <w:r w:rsidRPr="00415046">
        <w:rPr>
          <w:rFonts w:ascii="Times New Roman" w:hAnsi="Times New Roman" w:cs="Times New Roman"/>
          <w:i/>
        </w:rPr>
        <w:t>Fire water and controls</w:t>
      </w:r>
    </w:p>
    <w:p w14:paraId="00EBC4A6" w14:textId="77777777"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The need for fire water was a significant concern for the HSP.  While the flow rate, total volume, storage requirements and the specific design of the fire water system varies by jurisdiction, some general guidelines can be provided.</w:t>
      </w:r>
    </w:p>
    <w:p w14:paraId="6FE3C0CF" w14:textId="0CBD0A7D"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The constraints on fire water system design are provided in NFPA 30 and describe the flow rates as a function of tank surface area.</w:t>
      </w:r>
      <w:r w:rsidRPr="00415046">
        <w:rPr>
          <w:rFonts w:ascii="Times New Roman" w:hAnsi="Times New Roman" w:cs="Times New Roman"/>
          <w:vertAlign w:val="superscript"/>
        </w:rPr>
        <w:t>22</w:t>
      </w:r>
      <w:r w:rsidRPr="00415046">
        <w:rPr>
          <w:rFonts w:ascii="Times New Roman" w:hAnsi="Times New Roman" w:cs="Times New Roman"/>
        </w:rPr>
        <w:t xml:space="preserve">  The fire water volume is controlled by the duration of the firefighting required.  Where the fire water is going after it is used is also a</w:t>
      </w:r>
      <w:r w:rsidR="00837497" w:rsidRPr="00415046">
        <w:rPr>
          <w:rFonts w:ascii="Times New Roman" w:hAnsi="Times New Roman" w:cs="Times New Roman"/>
        </w:rPr>
        <w:t>n issue</w:t>
      </w:r>
      <w:r w:rsidRPr="00415046">
        <w:rPr>
          <w:rFonts w:ascii="Times New Roman" w:hAnsi="Times New Roman" w:cs="Times New Roman"/>
        </w:rPr>
        <w:t xml:space="preserve"> since such carriers as </w:t>
      </w:r>
      <w:r w:rsidR="00852FCA" w:rsidRPr="00415046">
        <w:rPr>
          <w:rFonts w:ascii="Times New Roman" w:hAnsi="Times New Roman" w:cs="Times New Roman"/>
        </w:rPr>
        <w:t>TOL</w:t>
      </w:r>
      <w:r w:rsidRPr="00415046">
        <w:rPr>
          <w:rFonts w:ascii="Times New Roman" w:hAnsi="Times New Roman" w:cs="Times New Roman"/>
        </w:rPr>
        <w:t xml:space="preserve"> cannot be allowed into the ground water.  It must be captured and contained either using berms, a dry pond or large holding basin.  One source had flow rates of between 0.</w:t>
      </w:r>
      <w:r w:rsidR="00725DE1" w:rsidRPr="00415046">
        <w:rPr>
          <w:rFonts w:ascii="Times New Roman" w:hAnsi="Times New Roman" w:cs="Times New Roman"/>
        </w:rPr>
        <w:t>379</w:t>
      </w:r>
      <w:r w:rsidRPr="00415046">
        <w:rPr>
          <w:rFonts w:ascii="Times New Roman" w:hAnsi="Times New Roman" w:cs="Times New Roman"/>
        </w:rPr>
        <w:t xml:space="preserve"> and </w:t>
      </w:r>
      <w:r w:rsidR="00725DE1" w:rsidRPr="00415046">
        <w:rPr>
          <w:rFonts w:ascii="Times New Roman" w:hAnsi="Times New Roman" w:cs="Times New Roman"/>
        </w:rPr>
        <w:t>1.895</w:t>
      </w:r>
      <w:r w:rsidRPr="00415046">
        <w:rPr>
          <w:rFonts w:ascii="Times New Roman" w:hAnsi="Times New Roman" w:cs="Times New Roman"/>
        </w:rPr>
        <w:t xml:space="preserve"> </w:t>
      </w:r>
      <w:r w:rsidR="00725DE1" w:rsidRPr="00415046">
        <w:rPr>
          <w:rFonts w:ascii="Times New Roman" w:hAnsi="Times New Roman" w:cs="Times New Roman"/>
        </w:rPr>
        <w:t>liters per minute (LPM)</w:t>
      </w:r>
      <w:r w:rsidRPr="00415046">
        <w:rPr>
          <w:rFonts w:ascii="Times New Roman" w:hAnsi="Times New Roman" w:cs="Times New Roman"/>
        </w:rPr>
        <w:t xml:space="preserve"> for between 4-6 hours as determined by the fire hazards analysis.</w:t>
      </w:r>
      <w:r w:rsidRPr="00415046">
        <w:rPr>
          <w:rFonts w:ascii="Times New Roman" w:hAnsi="Times New Roman" w:cs="Times New Roman"/>
          <w:vertAlign w:val="superscript"/>
        </w:rPr>
        <w:t>25</w:t>
      </w:r>
      <w:r w:rsidRPr="00415046">
        <w:rPr>
          <w:rFonts w:ascii="Times New Roman" w:hAnsi="Times New Roman" w:cs="Times New Roman"/>
        </w:rPr>
        <w:t xml:space="preserve">  Similar volumetric flows were mandated elsewhere.</w:t>
      </w:r>
      <w:r w:rsidRPr="00415046">
        <w:rPr>
          <w:rFonts w:ascii="Times New Roman" w:hAnsi="Times New Roman" w:cs="Times New Roman"/>
          <w:vertAlign w:val="superscript"/>
        </w:rPr>
        <w:t>26</w:t>
      </w:r>
      <w:r w:rsidRPr="00415046">
        <w:rPr>
          <w:rFonts w:ascii="Times New Roman" w:hAnsi="Times New Roman" w:cs="Times New Roman"/>
        </w:rPr>
        <w:t xml:space="preserve">  These were 0.</w:t>
      </w:r>
      <w:r w:rsidR="00725DE1" w:rsidRPr="00415046">
        <w:rPr>
          <w:rFonts w:ascii="Times New Roman" w:hAnsi="Times New Roman" w:cs="Times New Roman"/>
        </w:rPr>
        <w:t>758</w:t>
      </w:r>
      <w:r w:rsidRPr="00415046">
        <w:rPr>
          <w:rFonts w:ascii="Times New Roman" w:hAnsi="Times New Roman" w:cs="Times New Roman"/>
        </w:rPr>
        <w:t>-</w:t>
      </w:r>
      <w:r w:rsidR="00725DE1" w:rsidRPr="00415046">
        <w:rPr>
          <w:rFonts w:ascii="Times New Roman" w:hAnsi="Times New Roman" w:cs="Times New Roman"/>
        </w:rPr>
        <w:t>1.137</w:t>
      </w:r>
      <w:r w:rsidRPr="00415046">
        <w:rPr>
          <w:rFonts w:ascii="Times New Roman" w:hAnsi="Times New Roman" w:cs="Times New Roman"/>
        </w:rPr>
        <w:t xml:space="preserve"> </w:t>
      </w:r>
      <w:r w:rsidR="00725DE1" w:rsidRPr="00415046">
        <w:rPr>
          <w:rFonts w:ascii="Times New Roman" w:hAnsi="Times New Roman" w:cs="Times New Roman"/>
        </w:rPr>
        <w:t>LPM</w:t>
      </w:r>
      <w:r w:rsidRPr="00415046">
        <w:rPr>
          <w:rFonts w:ascii="Times New Roman" w:hAnsi="Times New Roman" w:cs="Times New Roman"/>
        </w:rPr>
        <w:t xml:space="preserve"> for cooling and 0.</w:t>
      </w:r>
      <w:r w:rsidR="00725DE1" w:rsidRPr="00415046">
        <w:rPr>
          <w:rFonts w:ascii="Times New Roman" w:hAnsi="Times New Roman" w:cs="Times New Roman"/>
        </w:rPr>
        <w:t>1.137</w:t>
      </w:r>
      <w:r w:rsidRPr="00415046">
        <w:rPr>
          <w:rFonts w:ascii="Times New Roman" w:hAnsi="Times New Roman" w:cs="Times New Roman"/>
        </w:rPr>
        <w:t>-</w:t>
      </w:r>
      <w:r w:rsidR="00725DE1" w:rsidRPr="00415046">
        <w:rPr>
          <w:rFonts w:ascii="Times New Roman" w:hAnsi="Times New Roman" w:cs="Times New Roman"/>
        </w:rPr>
        <w:t>1.895</w:t>
      </w:r>
      <w:r w:rsidRPr="00415046">
        <w:rPr>
          <w:rFonts w:ascii="Times New Roman" w:hAnsi="Times New Roman" w:cs="Times New Roman"/>
        </w:rPr>
        <w:t xml:space="preserve"> </w:t>
      </w:r>
      <w:r w:rsidR="00725DE1" w:rsidRPr="00415046">
        <w:rPr>
          <w:rFonts w:ascii="Times New Roman" w:hAnsi="Times New Roman" w:cs="Times New Roman"/>
        </w:rPr>
        <w:t>LPM</w:t>
      </w:r>
      <w:r w:rsidRPr="00415046">
        <w:rPr>
          <w:rFonts w:ascii="Times New Roman" w:hAnsi="Times New Roman" w:cs="Times New Roman"/>
        </w:rPr>
        <w:t xml:space="preserve"> for fire suppression.  It also specified the fire water flow rate for flammable liquids and high-pressure flammable gases of </w:t>
      </w:r>
      <w:r w:rsidR="00725DE1" w:rsidRPr="00415046">
        <w:rPr>
          <w:rFonts w:ascii="Times New Roman" w:hAnsi="Times New Roman" w:cs="Times New Roman"/>
        </w:rPr>
        <w:t>15,160</w:t>
      </w:r>
      <w:r w:rsidRPr="00415046">
        <w:rPr>
          <w:rFonts w:ascii="Times New Roman" w:hAnsi="Times New Roman" w:cs="Times New Roman"/>
        </w:rPr>
        <w:t>-</w:t>
      </w:r>
      <w:r w:rsidR="00725DE1" w:rsidRPr="00415046">
        <w:rPr>
          <w:rFonts w:ascii="Times New Roman" w:hAnsi="Times New Roman" w:cs="Times New Roman"/>
        </w:rPr>
        <w:t>37,900</w:t>
      </w:r>
      <w:r w:rsidRPr="00415046">
        <w:rPr>
          <w:rFonts w:ascii="Times New Roman" w:hAnsi="Times New Roman" w:cs="Times New Roman"/>
        </w:rPr>
        <w:t xml:space="preserve"> </w:t>
      </w:r>
      <w:r w:rsidR="00725DE1" w:rsidRPr="00415046">
        <w:rPr>
          <w:rFonts w:ascii="Times New Roman" w:hAnsi="Times New Roman" w:cs="Times New Roman"/>
        </w:rPr>
        <w:t>LPM</w:t>
      </w:r>
      <w:r w:rsidRPr="00415046">
        <w:rPr>
          <w:rFonts w:ascii="Times New Roman" w:hAnsi="Times New Roman" w:cs="Times New Roman"/>
        </w:rPr>
        <w:t xml:space="preserve">.  This would apply for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and </w:t>
      </w:r>
      <w:r w:rsidR="00852FCA" w:rsidRPr="00415046">
        <w:rPr>
          <w:rFonts w:ascii="Times New Roman" w:hAnsi="Times New Roman" w:cs="Times New Roman"/>
        </w:rPr>
        <w:t>TOL/MCH</w:t>
      </w:r>
      <w:r w:rsidRPr="00415046">
        <w:rPr>
          <w:rFonts w:ascii="Times New Roman" w:hAnsi="Times New Roman" w:cs="Times New Roman"/>
        </w:rPr>
        <w:t>.  In contrast, the fire water flow rate requirements for combustible liquids such as DBT were specified lower (</w:t>
      </w:r>
      <w:r w:rsidR="00725DE1" w:rsidRPr="00415046">
        <w:rPr>
          <w:rFonts w:ascii="Times New Roman" w:hAnsi="Times New Roman" w:cs="Times New Roman"/>
        </w:rPr>
        <w:t>11,370</w:t>
      </w:r>
      <w:r w:rsidRPr="00415046">
        <w:rPr>
          <w:rFonts w:ascii="Times New Roman" w:hAnsi="Times New Roman" w:cs="Times New Roman"/>
        </w:rPr>
        <w:t>-</w:t>
      </w:r>
      <w:r w:rsidR="00725DE1" w:rsidRPr="00415046">
        <w:rPr>
          <w:rFonts w:ascii="Times New Roman" w:hAnsi="Times New Roman" w:cs="Times New Roman"/>
        </w:rPr>
        <w:t>18,950</w:t>
      </w:r>
      <w:r w:rsidRPr="00415046">
        <w:rPr>
          <w:rFonts w:ascii="Times New Roman" w:hAnsi="Times New Roman" w:cs="Times New Roman"/>
        </w:rPr>
        <w:t xml:space="preserve"> </w:t>
      </w:r>
      <w:r w:rsidR="00725DE1" w:rsidRPr="00415046">
        <w:rPr>
          <w:rFonts w:ascii="Times New Roman" w:hAnsi="Times New Roman" w:cs="Times New Roman"/>
        </w:rPr>
        <w:t>LPM</w:t>
      </w:r>
      <w:r w:rsidRPr="00415046">
        <w:rPr>
          <w:rFonts w:ascii="Times New Roman" w:hAnsi="Times New Roman" w:cs="Times New Roman"/>
        </w:rPr>
        <w:t xml:space="preserve">). </w:t>
      </w:r>
    </w:p>
    <w:p w14:paraId="5290CB9A" w14:textId="3229F9CE"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At this point these values should be considered as general guidelines.  Before a fire water system can be designed, the location of the process must be known to apply the appropriate fire code permitting requirements as each jurisdiction may have their own (state, county, province).</w:t>
      </w:r>
    </w:p>
    <w:p w14:paraId="198A6C6B" w14:textId="73F4CC98" w:rsidR="0090667F" w:rsidRPr="00415046" w:rsidRDefault="0090667F" w:rsidP="007E2130">
      <w:pPr>
        <w:spacing w:before="240" w:after="240" w:line="240" w:lineRule="auto"/>
        <w:rPr>
          <w:rFonts w:ascii="Times New Roman" w:hAnsi="Times New Roman" w:cs="Times New Roman"/>
          <w:i/>
        </w:rPr>
      </w:pPr>
      <w:r w:rsidRPr="00415046">
        <w:rPr>
          <w:rFonts w:ascii="Times New Roman" w:hAnsi="Times New Roman" w:cs="Times New Roman"/>
          <w:i/>
        </w:rPr>
        <w:t>Quantity limits</w:t>
      </w:r>
    </w:p>
    <w:p w14:paraId="17DFC0B8" w14:textId="0525E09F" w:rsidR="000365D3" w:rsidRPr="00415046" w:rsidRDefault="000365D3" w:rsidP="007E2130">
      <w:pPr>
        <w:spacing w:before="240" w:after="240" w:line="240" w:lineRule="auto"/>
        <w:rPr>
          <w:rFonts w:ascii="Times New Roman" w:hAnsi="Times New Roman" w:cs="Times New Roman"/>
        </w:rPr>
      </w:pPr>
      <w:r w:rsidRPr="00415046">
        <w:rPr>
          <w:rFonts w:ascii="Times New Roman" w:hAnsi="Times New Roman" w:cs="Times New Roman"/>
        </w:rPr>
        <w:t xml:space="preserve">Based on the amount of hazardous chemical in the inventory (tank and process)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 plant design may be required to conform to the Process Safety Management regulations from OSHA/EPA.</w:t>
      </w:r>
      <w:r w:rsidRPr="00415046">
        <w:rPr>
          <w:rFonts w:ascii="Times New Roman" w:hAnsi="Times New Roman" w:cs="Times New Roman"/>
          <w:vertAlign w:val="superscript"/>
        </w:rPr>
        <w:t>27</w:t>
      </w:r>
      <w:r w:rsidRPr="00415046">
        <w:rPr>
          <w:rFonts w:ascii="Times New Roman" w:hAnsi="Times New Roman" w:cs="Times New Roman"/>
        </w:rPr>
        <w:t xml:space="preserve">  These are very stringent regulations for specific named chemicals that exceed a specific mass threshold require additional safety controls that the iron industry may not be accustomed to.  For the case of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the limit is </w:t>
      </w:r>
      <w:r w:rsidR="00FE54C6" w:rsidRPr="00415046">
        <w:rPr>
          <w:rFonts w:ascii="Times New Roman" w:hAnsi="Times New Roman" w:cs="Times New Roman"/>
        </w:rPr>
        <w:t>4.54 tonnes</w:t>
      </w:r>
      <w:r w:rsidR="00F36809" w:rsidRPr="00415046">
        <w:rPr>
          <w:rFonts w:ascii="Times New Roman" w:hAnsi="Times New Roman" w:cs="Times New Roman"/>
        </w:rPr>
        <w:t xml:space="preserve"> (10,000 </w:t>
      </w:r>
      <w:proofErr w:type="spellStart"/>
      <w:r w:rsidR="00F36809" w:rsidRPr="00415046">
        <w:rPr>
          <w:rFonts w:ascii="Times New Roman" w:hAnsi="Times New Roman" w:cs="Times New Roman"/>
        </w:rPr>
        <w:t>lbs</w:t>
      </w:r>
      <w:proofErr w:type="spellEnd"/>
      <w:r w:rsidR="00F36809" w:rsidRPr="00415046">
        <w:rPr>
          <w:rFonts w:ascii="Times New Roman" w:hAnsi="Times New Roman" w:cs="Times New Roman"/>
        </w:rPr>
        <w:t>)</w:t>
      </w:r>
      <w:r w:rsidR="00FE54C6" w:rsidRPr="00415046">
        <w:rPr>
          <w:rFonts w:ascii="Times New Roman" w:hAnsi="Times New Roman" w:cs="Times New Roman"/>
        </w:rPr>
        <w:t xml:space="preserve"> </w:t>
      </w:r>
      <w:r w:rsidRPr="00415046">
        <w:rPr>
          <w:rFonts w:ascii="Times New Roman" w:hAnsi="Times New Roman" w:cs="Times New Roman"/>
        </w:rPr>
        <w:t xml:space="preserve">of on-site for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These regulations apply to specific chemicals on the list of regulated materials.  If not on the list, these additional safety requirements do not apply.  In the case of </w:t>
      </w:r>
      <w:r w:rsidR="00852FCA" w:rsidRPr="00415046">
        <w:rPr>
          <w:rFonts w:ascii="Times New Roman" w:hAnsi="Times New Roman" w:cs="Times New Roman"/>
        </w:rPr>
        <w:t>TOL</w:t>
      </w:r>
      <w:r w:rsidRPr="00415046">
        <w:rPr>
          <w:rFonts w:ascii="Times New Roman" w:hAnsi="Times New Roman" w:cs="Times New Roman"/>
        </w:rPr>
        <w:t xml:space="preserve">, MCH, and DBT are not included on the list.  As a result, these additional constraints do not apply to the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carrier process.  However, with the </w:t>
      </w:r>
      <w:r w:rsidR="00FE54C6" w:rsidRPr="00415046">
        <w:rPr>
          <w:rFonts w:ascii="Times New Roman" w:hAnsi="Times New Roman" w:cs="Times New Roman"/>
        </w:rPr>
        <w:t xml:space="preserve">4.54 tonnes </w:t>
      </w:r>
      <w:r w:rsidRPr="00415046">
        <w:rPr>
          <w:rFonts w:ascii="Times New Roman" w:hAnsi="Times New Roman" w:cs="Times New Roman"/>
        </w:rPr>
        <w:t xml:space="preserve">limit, the ballast tanks required for transients with a 200 </w:t>
      </w:r>
      <w:r w:rsidR="00FE54C6" w:rsidRPr="00415046">
        <w:rPr>
          <w:rFonts w:ascii="Times New Roman" w:hAnsi="Times New Roman" w:cs="Times New Roman"/>
        </w:rPr>
        <w:t>TPD</w:t>
      </w:r>
      <w:r w:rsidRPr="00415046">
        <w:rPr>
          <w:rFonts w:ascii="Times New Roman" w:hAnsi="Times New Roman" w:cs="Times New Roman"/>
        </w:rPr>
        <w:t xml:space="preserve"> process cannot exceed 30 minutes of operating time before the OSHA/EPA requirements for </w:t>
      </w:r>
      <w:r w:rsidR="002A700F" w:rsidRPr="00415046">
        <w:rPr>
          <w:rFonts w:ascii="Times New Roman" w:hAnsi="Times New Roman" w:cs="Times New Roman"/>
          <w:bCs/>
        </w:rPr>
        <w:t>H</w:t>
      </w:r>
      <w:r w:rsidR="002A700F" w:rsidRPr="00415046">
        <w:rPr>
          <w:rFonts w:ascii="Times New Roman" w:hAnsi="Times New Roman" w:cs="Times New Roman"/>
          <w:bCs/>
          <w:vertAlign w:val="subscript"/>
        </w:rPr>
        <w:t>2</w:t>
      </w:r>
      <w:r w:rsidRPr="00415046">
        <w:rPr>
          <w:rFonts w:ascii="Times New Roman" w:hAnsi="Times New Roman" w:cs="Times New Roman"/>
        </w:rPr>
        <w:t xml:space="preserve"> apply.  Most likely they will. </w:t>
      </w:r>
    </w:p>
    <w:p w14:paraId="6D6F4503" w14:textId="73A4318B" w:rsidR="000365D3" w:rsidRPr="00415046" w:rsidRDefault="00517E88" w:rsidP="00BB7945">
      <w:pPr>
        <w:pStyle w:val="Heading1"/>
        <w:rPr>
          <w:rFonts w:ascii="Times New Roman" w:hAnsi="Times New Roman" w:cs="Times New Roman"/>
          <w:b/>
          <w:color w:val="auto"/>
          <w:sz w:val="22"/>
          <w:szCs w:val="22"/>
        </w:rPr>
      </w:pPr>
      <w:bookmarkStart w:id="17" w:name="_Toc164699841"/>
      <w:r w:rsidRPr="00415046">
        <w:rPr>
          <w:rFonts w:ascii="Times New Roman" w:hAnsi="Times New Roman" w:cs="Times New Roman"/>
          <w:b/>
          <w:color w:val="auto"/>
          <w:sz w:val="22"/>
          <w:szCs w:val="22"/>
        </w:rPr>
        <w:lastRenderedPageBreak/>
        <w:t xml:space="preserve">Note 6: </w:t>
      </w:r>
      <w:r w:rsidR="004145F3" w:rsidRPr="00415046">
        <w:rPr>
          <w:rFonts w:ascii="Times New Roman" w:hAnsi="Times New Roman" w:cs="Times New Roman"/>
          <w:b/>
          <w:color w:val="auto"/>
          <w:sz w:val="22"/>
          <w:szCs w:val="22"/>
        </w:rPr>
        <w:t xml:space="preserve">Additional </w:t>
      </w:r>
      <w:r w:rsidR="00BB7945" w:rsidRPr="00415046">
        <w:rPr>
          <w:rFonts w:ascii="Times New Roman" w:hAnsi="Times New Roman" w:cs="Times New Roman"/>
          <w:b/>
          <w:color w:val="auto"/>
          <w:sz w:val="22"/>
          <w:szCs w:val="22"/>
        </w:rPr>
        <w:t>r</w:t>
      </w:r>
      <w:r w:rsidR="004145F3" w:rsidRPr="00415046">
        <w:rPr>
          <w:rFonts w:ascii="Times New Roman" w:hAnsi="Times New Roman" w:cs="Times New Roman"/>
          <w:b/>
          <w:color w:val="auto"/>
          <w:sz w:val="22"/>
          <w:szCs w:val="22"/>
        </w:rPr>
        <w:t>esults</w:t>
      </w:r>
      <w:r w:rsidR="00BB7945" w:rsidRPr="00415046">
        <w:rPr>
          <w:rFonts w:ascii="Times New Roman" w:hAnsi="Times New Roman" w:cs="Times New Roman"/>
          <w:b/>
          <w:color w:val="auto"/>
          <w:sz w:val="22"/>
          <w:szCs w:val="22"/>
        </w:rPr>
        <w:t>.</w:t>
      </w:r>
      <w:bookmarkEnd w:id="17"/>
    </w:p>
    <w:p w14:paraId="7D0D9841" w14:textId="0D96F213" w:rsidR="00B25ED9" w:rsidRPr="00415046" w:rsidRDefault="00B25ED9" w:rsidP="00B25ED9">
      <w:pPr>
        <w:rPr>
          <w:rFonts w:ascii="Times New Roman" w:hAnsi="Times New Roman" w:cs="Times New Roman"/>
        </w:rPr>
      </w:pPr>
    </w:p>
    <w:p w14:paraId="72D16B23" w14:textId="4B038471" w:rsidR="00B25ED9" w:rsidRPr="00415046" w:rsidRDefault="00B25ED9" w:rsidP="00B25ED9">
      <w:pPr>
        <w:rPr>
          <w:rFonts w:ascii="Times New Roman" w:hAnsi="Times New Roman" w:cs="Times New Roman"/>
        </w:rPr>
      </w:pPr>
      <w:r w:rsidRPr="00415046">
        <w:rPr>
          <w:rFonts w:ascii="Times New Roman" w:hAnsi="Times New Roman" w:cs="Times New Roman"/>
        </w:rPr>
        <w:t xml:space="preserve">Each location has a unique renewable profile affecting design parameters of the TOL/MCH storage system. However, certain trends can be derived through evaluation of locations with low, median, and high LCOS, beyond the wind to solar ratio variations conducted for the case location. </w:t>
      </w:r>
      <w:r w:rsidRPr="00415046">
        <w:rPr>
          <w:rFonts w:ascii="Times New Roman" w:hAnsi="Times New Roman" w:cs="Times New Roman"/>
          <w:b/>
        </w:rPr>
        <w:t>Fig. S5</w:t>
      </w:r>
      <w:r w:rsidRPr="00415046">
        <w:rPr>
          <w:rFonts w:ascii="Times New Roman" w:hAnsi="Times New Roman" w:cs="Times New Roman"/>
        </w:rPr>
        <w:t xml:space="preserve"> show the average capacity for hydrogenation and dehydrogenation for 20 sites in the low, median, and high LCOS regions, while </w:t>
      </w:r>
      <w:r w:rsidRPr="00415046">
        <w:rPr>
          <w:rFonts w:ascii="Times New Roman" w:hAnsi="Times New Roman" w:cs="Times New Roman"/>
          <w:b/>
        </w:rPr>
        <w:t>Fig.</w:t>
      </w:r>
      <w:r w:rsidRPr="00415046">
        <w:rPr>
          <w:rFonts w:ascii="Times New Roman" w:hAnsi="Times New Roman" w:cs="Times New Roman"/>
        </w:rPr>
        <w:t xml:space="preserve"> </w:t>
      </w:r>
      <w:r w:rsidRPr="00415046">
        <w:rPr>
          <w:rFonts w:ascii="Times New Roman" w:hAnsi="Times New Roman" w:cs="Times New Roman"/>
          <w:b/>
        </w:rPr>
        <w:t>S6</w:t>
      </w:r>
      <w:r w:rsidRPr="00415046">
        <w:rPr>
          <w:rFonts w:ascii="Times New Roman" w:hAnsi="Times New Roman" w:cs="Times New Roman"/>
        </w:rPr>
        <w:t xml:space="preserve"> show cost breakdowns. </w:t>
      </w:r>
      <w:r w:rsidRPr="00415046">
        <w:rPr>
          <w:rFonts w:ascii="Times New Roman" w:hAnsi="Times New Roman" w:cs="Times New Roman"/>
          <w:b/>
        </w:rPr>
        <w:t>Fig. S7</w:t>
      </w:r>
      <w:r w:rsidRPr="00415046">
        <w:rPr>
          <w:rFonts w:ascii="Times New Roman" w:hAnsi="Times New Roman" w:cs="Times New Roman"/>
        </w:rPr>
        <w:t xml:space="preserve"> presents the tank fill levels for two representative locations within the low, median, and high LCOS ranges, similar to the format presented in </w:t>
      </w:r>
      <w:r w:rsidRPr="00415046">
        <w:rPr>
          <w:rFonts w:ascii="Times New Roman" w:hAnsi="Times New Roman" w:cs="Times New Roman"/>
          <w:b/>
        </w:rPr>
        <w:t>Fig. 1</w:t>
      </w:r>
      <w:r w:rsidRPr="00415046">
        <w:rPr>
          <w:rFonts w:ascii="Times New Roman" w:hAnsi="Times New Roman" w:cs="Times New Roman"/>
        </w:rPr>
        <w:t xml:space="preserve"> in the manuscript.</w:t>
      </w:r>
    </w:p>
    <w:p w14:paraId="19CD1EAF" w14:textId="6D1ED329" w:rsidR="004145F3" w:rsidRPr="00415046" w:rsidRDefault="004145F3" w:rsidP="007E2130">
      <w:pPr>
        <w:spacing w:line="240" w:lineRule="auto"/>
        <w:rPr>
          <w:rFonts w:ascii="Times New Roman" w:hAnsi="Times New Roman" w:cs="Times New Roman"/>
        </w:rPr>
      </w:pPr>
    </w:p>
    <w:p w14:paraId="7AD648AB" w14:textId="1D872C51" w:rsidR="00CE3A24" w:rsidRPr="00415046" w:rsidRDefault="00A6791F" w:rsidP="007E2130">
      <w:pPr>
        <w:spacing w:line="240" w:lineRule="auto"/>
        <w:jc w:val="center"/>
        <w:rPr>
          <w:rFonts w:ascii="Times New Roman" w:hAnsi="Times New Roman" w:cs="Times New Roman"/>
          <w:b/>
        </w:rPr>
      </w:pPr>
      <w:r w:rsidRPr="00415046">
        <w:rPr>
          <w:rFonts w:ascii="Times New Roman" w:hAnsi="Times New Roman" w:cs="Times New Roman"/>
          <w:b/>
          <w:noProof/>
          <w:lang w:val="en-US"/>
        </w:rPr>
        <w:drawing>
          <wp:inline distT="0" distB="0" distL="0" distR="0" wp14:anchorId="65BBDB5E" wp14:editId="72DB8AF9">
            <wp:extent cx="5662465" cy="334244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5683434" cy="3354824"/>
                    </a:xfrm>
                    <a:prstGeom prst="rect">
                      <a:avLst/>
                    </a:prstGeom>
                    <a:noFill/>
                  </pic:spPr>
                </pic:pic>
              </a:graphicData>
            </a:graphic>
          </wp:inline>
        </w:drawing>
      </w:r>
    </w:p>
    <w:p w14:paraId="5297BB33" w14:textId="485D9828" w:rsidR="004145F3" w:rsidRPr="00551994" w:rsidRDefault="00551994" w:rsidP="00551994">
      <w:pPr>
        <w:pStyle w:val="Caption"/>
        <w:rPr>
          <w:rFonts w:ascii="Times New Roman" w:hAnsi="Times New Roman" w:cs="Times New Roman"/>
          <w:color w:val="auto"/>
          <w:sz w:val="22"/>
          <w:szCs w:val="22"/>
        </w:rPr>
      </w:pPr>
      <w:bookmarkStart w:id="18" w:name="_Toc164699847"/>
      <w:r w:rsidRPr="00551994">
        <w:rPr>
          <w:rFonts w:ascii="Times New Roman" w:hAnsi="Times New Roman" w:cs="Times New Roman"/>
          <w:color w:val="auto"/>
          <w:sz w:val="22"/>
          <w:szCs w:val="22"/>
        </w:rPr>
        <w:t>Figure S</w:t>
      </w:r>
      <w:r w:rsidRPr="00551994">
        <w:rPr>
          <w:rFonts w:ascii="Times New Roman" w:hAnsi="Times New Roman" w:cs="Times New Roman"/>
          <w:color w:val="auto"/>
          <w:sz w:val="22"/>
          <w:szCs w:val="22"/>
        </w:rPr>
        <w:fldChar w:fldCharType="begin"/>
      </w:r>
      <w:r w:rsidRPr="00551994">
        <w:rPr>
          <w:rFonts w:ascii="Times New Roman" w:hAnsi="Times New Roman" w:cs="Times New Roman"/>
          <w:color w:val="auto"/>
          <w:sz w:val="22"/>
          <w:szCs w:val="22"/>
        </w:rPr>
        <w:instrText xml:space="preserve"> SEQ Figure \* ARABIC </w:instrText>
      </w:r>
      <w:r w:rsidRPr="00551994">
        <w:rPr>
          <w:rFonts w:ascii="Times New Roman" w:hAnsi="Times New Roman" w:cs="Times New Roman"/>
          <w:color w:val="auto"/>
          <w:sz w:val="22"/>
          <w:szCs w:val="22"/>
        </w:rPr>
        <w:fldChar w:fldCharType="separate"/>
      </w:r>
      <w:r w:rsidR="004A6504">
        <w:rPr>
          <w:rFonts w:ascii="Times New Roman" w:hAnsi="Times New Roman" w:cs="Times New Roman"/>
          <w:noProof/>
          <w:color w:val="auto"/>
          <w:sz w:val="22"/>
          <w:szCs w:val="22"/>
        </w:rPr>
        <w:t>5</w:t>
      </w:r>
      <w:r w:rsidRPr="00551994">
        <w:rPr>
          <w:rFonts w:ascii="Times New Roman" w:hAnsi="Times New Roman" w:cs="Times New Roman"/>
          <w:color w:val="auto"/>
          <w:sz w:val="22"/>
          <w:szCs w:val="22"/>
        </w:rPr>
        <w:fldChar w:fldCharType="end"/>
      </w:r>
      <w:r w:rsidRPr="00551994">
        <w:rPr>
          <w:rFonts w:ascii="Times New Roman" w:hAnsi="Times New Roman" w:cs="Times New Roman"/>
          <w:color w:val="auto"/>
          <w:sz w:val="22"/>
          <w:szCs w:val="22"/>
        </w:rPr>
        <w:t xml:space="preserve"> | Mean capacity of the hydrogenation facility and dehydrogenation facility. Results presented for the median value of 20 locations with the lowest, median, and highest levelized cost of storage.</w:t>
      </w:r>
      <w:bookmarkEnd w:id="18"/>
    </w:p>
    <w:p w14:paraId="6335BDF2" w14:textId="4D67169B" w:rsidR="004145F3" w:rsidRPr="00415046" w:rsidRDefault="00A6791F" w:rsidP="007E2130">
      <w:pPr>
        <w:spacing w:line="240" w:lineRule="auto"/>
        <w:rPr>
          <w:rFonts w:ascii="Times New Roman" w:hAnsi="Times New Roman" w:cs="Times New Roman"/>
          <w:b/>
        </w:rPr>
      </w:pPr>
      <w:r w:rsidRPr="00415046">
        <w:rPr>
          <w:rFonts w:ascii="Times New Roman" w:hAnsi="Times New Roman" w:cs="Times New Roman"/>
          <w:b/>
          <w:noProof/>
          <w:lang w:val="en-US"/>
        </w:rPr>
        <w:lastRenderedPageBreak/>
        <w:drawing>
          <wp:inline distT="0" distB="0" distL="0" distR="0" wp14:anchorId="06DB1C0B" wp14:editId="302A766E">
            <wp:extent cx="5943600" cy="300799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ercentagecosts.png"/>
                    <pic:cNvPicPr/>
                  </pic:nvPicPr>
                  <pic:blipFill>
                    <a:blip r:embed="rId13" cstate="print">
                      <a:extLst>
                        <a:ext uri="{28A0092B-C50C-407E-A947-70E740481C1C}">
                          <a14:useLocalDpi xmlns:a14="http://schemas.microsoft.com/office/drawing/2010/main"/>
                        </a:ext>
                      </a:extLst>
                    </a:blip>
                    <a:stretch>
                      <a:fillRect/>
                    </a:stretch>
                  </pic:blipFill>
                  <pic:spPr>
                    <a:xfrm>
                      <a:off x="0" y="0"/>
                      <a:ext cx="5943600" cy="3007995"/>
                    </a:xfrm>
                    <a:prstGeom prst="rect">
                      <a:avLst/>
                    </a:prstGeom>
                  </pic:spPr>
                </pic:pic>
              </a:graphicData>
            </a:graphic>
          </wp:inline>
        </w:drawing>
      </w:r>
    </w:p>
    <w:p w14:paraId="3BAC7C9F" w14:textId="676E5265" w:rsidR="004145F3" w:rsidRPr="00551994" w:rsidRDefault="00551994" w:rsidP="00551994">
      <w:pPr>
        <w:pStyle w:val="Caption"/>
        <w:rPr>
          <w:rFonts w:ascii="Times New Roman" w:hAnsi="Times New Roman" w:cs="Times New Roman"/>
          <w:color w:val="auto"/>
          <w:sz w:val="22"/>
          <w:szCs w:val="22"/>
        </w:rPr>
      </w:pPr>
      <w:bookmarkStart w:id="19" w:name="_Toc164699848"/>
      <w:r w:rsidRPr="00551994">
        <w:rPr>
          <w:rFonts w:ascii="Times New Roman" w:hAnsi="Times New Roman" w:cs="Times New Roman"/>
          <w:color w:val="auto"/>
          <w:sz w:val="22"/>
          <w:szCs w:val="22"/>
        </w:rPr>
        <w:t>Figure S</w:t>
      </w:r>
      <w:r w:rsidRPr="00551994">
        <w:rPr>
          <w:rFonts w:ascii="Times New Roman" w:hAnsi="Times New Roman" w:cs="Times New Roman"/>
          <w:color w:val="auto"/>
          <w:sz w:val="22"/>
          <w:szCs w:val="22"/>
        </w:rPr>
        <w:fldChar w:fldCharType="begin"/>
      </w:r>
      <w:r w:rsidRPr="00551994">
        <w:rPr>
          <w:rFonts w:ascii="Times New Roman" w:hAnsi="Times New Roman" w:cs="Times New Roman"/>
          <w:color w:val="auto"/>
          <w:sz w:val="22"/>
          <w:szCs w:val="22"/>
        </w:rPr>
        <w:instrText xml:space="preserve"> SEQ Figure \* ARABIC </w:instrText>
      </w:r>
      <w:r w:rsidRPr="00551994">
        <w:rPr>
          <w:rFonts w:ascii="Times New Roman" w:hAnsi="Times New Roman" w:cs="Times New Roman"/>
          <w:color w:val="auto"/>
          <w:sz w:val="22"/>
          <w:szCs w:val="22"/>
        </w:rPr>
        <w:fldChar w:fldCharType="separate"/>
      </w:r>
      <w:r w:rsidR="004A6504">
        <w:rPr>
          <w:rFonts w:ascii="Times New Roman" w:hAnsi="Times New Roman" w:cs="Times New Roman"/>
          <w:noProof/>
          <w:color w:val="auto"/>
          <w:sz w:val="22"/>
          <w:szCs w:val="22"/>
        </w:rPr>
        <w:t>6</w:t>
      </w:r>
      <w:r w:rsidRPr="00551994">
        <w:rPr>
          <w:rFonts w:ascii="Times New Roman" w:hAnsi="Times New Roman" w:cs="Times New Roman"/>
          <w:color w:val="auto"/>
          <w:sz w:val="22"/>
          <w:szCs w:val="22"/>
        </w:rPr>
        <w:fldChar w:fldCharType="end"/>
      </w:r>
      <w:r w:rsidRPr="00551994">
        <w:rPr>
          <w:rFonts w:ascii="Times New Roman" w:hAnsi="Times New Roman" w:cs="Times New Roman"/>
          <w:color w:val="auto"/>
          <w:sz w:val="22"/>
          <w:szCs w:val="22"/>
        </w:rPr>
        <w:t xml:space="preserve"> | Breakdown of levelized cost of storage. Breakdown by capital and operating costs for 20 representative locations near the lowest, median, and highest cost identified in the national sweep.</w:t>
      </w:r>
      <w:bookmarkEnd w:id="19"/>
    </w:p>
    <w:p w14:paraId="7887BA39" w14:textId="69F299B6" w:rsidR="004145F3" w:rsidRPr="00415046" w:rsidRDefault="00463A68" w:rsidP="007E2130">
      <w:pPr>
        <w:spacing w:line="240" w:lineRule="auto"/>
        <w:jc w:val="center"/>
        <w:rPr>
          <w:rFonts w:ascii="Times New Roman" w:hAnsi="Times New Roman" w:cs="Times New Roman"/>
        </w:rPr>
      </w:pPr>
      <w:r w:rsidRPr="00415046">
        <w:rPr>
          <w:rFonts w:ascii="Times New Roman" w:hAnsi="Times New Roman" w:cs="Times New Roman"/>
          <w:noProof/>
          <w:lang w:val="en-US"/>
        </w:rPr>
        <w:drawing>
          <wp:inline distT="0" distB="0" distL="0" distR="0" wp14:anchorId="1AFFD554" wp14:editId="4D710D1F">
            <wp:extent cx="5943600" cy="312547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nk_curves (1).png"/>
                    <pic:cNvPicPr/>
                  </pic:nvPicPr>
                  <pic:blipFill>
                    <a:blip r:embed="rId14" cstate="hqprint">
                      <a:extLst>
                        <a:ext uri="{28A0092B-C50C-407E-A947-70E740481C1C}">
                          <a14:useLocalDpi xmlns:a14="http://schemas.microsoft.com/office/drawing/2010/main"/>
                        </a:ext>
                      </a:extLst>
                    </a:blip>
                    <a:stretch>
                      <a:fillRect/>
                    </a:stretch>
                  </pic:blipFill>
                  <pic:spPr>
                    <a:xfrm>
                      <a:off x="0" y="0"/>
                      <a:ext cx="5943600" cy="3125470"/>
                    </a:xfrm>
                    <a:prstGeom prst="rect">
                      <a:avLst/>
                    </a:prstGeom>
                  </pic:spPr>
                </pic:pic>
              </a:graphicData>
            </a:graphic>
          </wp:inline>
        </w:drawing>
      </w:r>
    </w:p>
    <w:p w14:paraId="50424D43" w14:textId="0D1C5781" w:rsidR="003C31C7" w:rsidRPr="00551994" w:rsidRDefault="00551994" w:rsidP="00551994">
      <w:pPr>
        <w:pStyle w:val="Caption"/>
        <w:rPr>
          <w:rFonts w:ascii="Times New Roman" w:hAnsi="Times New Roman" w:cs="Times New Roman"/>
          <w:color w:val="auto"/>
          <w:sz w:val="22"/>
          <w:szCs w:val="22"/>
        </w:rPr>
      </w:pPr>
      <w:bookmarkStart w:id="20" w:name="_Toc164699849"/>
      <w:r w:rsidRPr="00551994">
        <w:rPr>
          <w:rFonts w:ascii="Times New Roman" w:hAnsi="Times New Roman" w:cs="Times New Roman"/>
          <w:color w:val="auto"/>
          <w:sz w:val="22"/>
          <w:szCs w:val="22"/>
        </w:rPr>
        <w:t>Figure S</w:t>
      </w:r>
      <w:r w:rsidRPr="00551994">
        <w:rPr>
          <w:rFonts w:ascii="Times New Roman" w:hAnsi="Times New Roman" w:cs="Times New Roman"/>
          <w:color w:val="auto"/>
          <w:sz w:val="22"/>
          <w:szCs w:val="22"/>
        </w:rPr>
        <w:fldChar w:fldCharType="begin"/>
      </w:r>
      <w:r w:rsidRPr="00551994">
        <w:rPr>
          <w:rFonts w:ascii="Times New Roman" w:hAnsi="Times New Roman" w:cs="Times New Roman"/>
          <w:color w:val="auto"/>
          <w:sz w:val="22"/>
          <w:szCs w:val="22"/>
        </w:rPr>
        <w:instrText xml:space="preserve"> SEQ Figure \* ARABIC </w:instrText>
      </w:r>
      <w:r w:rsidRPr="00551994">
        <w:rPr>
          <w:rFonts w:ascii="Times New Roman" w:hAnsi="Times New Roman" w:cs="Times New Roman"/>
          <w:color w:val="auto"/>
          <w:sz w:val="22"/>
          <w:szCs w:val="22"/>
        </w:rPr>
        <w:fldChar w:fldCharType="separate"/>
      </w:r>
      <w:r w:rsidR="004A6504">
        <w:rPr>
          <w:rFonts w:ascii="Times New Roman" w:hAnsi="Times New Roman" w:cs="Times New Roman"/>
          <w:noProof/>
          <w:color w:val="auto"/>
          <w:sz w:val="22"/>
          <w:szCs w:val="22"/>
        </w:rPr>
        <w:t>7</w:t>
      </w:r>
      <w:r w:rsidRPr="00551994">
        <w:rPr>
          <w:rFonts w:ascii="Times New Roman" w:hAnsi="Times New Roman" w:cs="Times New Roman"/>
          <w:color w:val="auto"/>
          <w:sz w:val="22"/>
          <w:szCs w:val="22"/>
        </w:rPr>
        <w:fldChar w:fldCharType="end"/>
      </w:r>
      <w:r w:rsidRPr="00551994">
        <w:rPr>
          <w:rFonts w:ascii="Times New Roman" w:hAnsi="Times New Roman" w:cs="Times New Roman"/>
          <w:color w:val="auto"/>
          <w:sz w:val="22"/>
          <w:szCs w:val="22"/>
        </w:rPr>
        <w:t xml:space="preserve"> | Hourly tank fill level profile in equivalents of stored H</w:t>
      </w:r>
      <w:r w:rsidRPr="00551994">
        <w:rPr>
          <w:rFonts w:ascii="Times New Roman" w:hAnsi="Times New Roman" w:cs="Times New Roman"/>
          <w:color w:val="auto"/>
          <w:sz w:val="22"/>
          <w:szCs w:val="22"/>
          <w:vertAlign w:val="subscript"/>
        </w:rPr>
        <w:t>2</w:t>
      </w:r>
      <w:r w:rsidRPr="00551994">
        <w:rPr>
          <w:rFonts w:ascii="Times New Roman" w:hAnsi="Times New Roman" w:cs="Times New Roman"/>
          <w:color w:val="auto"/>
          <w:sz w:val="22"/>
          <w:szCs w:val="22"/>
        </w:rPr>
        <w:t>. Results presented for two example locations with the lowest, median and highest levelized cost of storage.</w:t>
      </w:r>
      <w:bookmarkEnd w:id="20"/>
    </w:p>
    <w:p w14:paraId="2CD28638" w14:textId="265951F2" w:rsidR="003C31C7" w:rsidRPr="00415046" w:rsidRDefault="003C31C7" w:rsidP="007E2130">
      <w:pPr>
        <w:spacing w:line="240" w:lineRule="auto"/>
        <w:rPr>
          <w:rFonts w:ascii="Times New Roman" w:hAnsi="Times New Roman" w:cs="Times New Roman"/>
        </w:rPr>
      </w:pPr>
      <w:r w:rsidRPr="00415046">
        <w:rPr>
          <w:rFonts w:ascii="Times New Roman" w:hAnsi="Times New Roman" w:cs="Times New Roman"/>
        </w:rPr>
        <w:t xml:space="preserve">The </w:t>
      </w:r>
      <w:proofErr w:type="spellStart"/>
      <w:r w:rsidRPr="00415046">
        <w:rPr>
          <w:rFonts w:ascii="Times New Roman" w:hAnsi="Times New Roman" w:cs="Times New Roman"/>
        </w:rPr>
        <w:t>GreenHEART</w:t>
      </w:r>
      <w:proofErr w:type="spellEnd"/>
      <w:r w:rsidRPr="00415046">
        <w:rPr>
          <w:rFonts w:ascii="Times New Roman" w:hAnsi="Times New Roman" w:cs="Times New Roman"/>
        </w:rPr>
        <w:t xml:space="preserve"> model</w:t>
      </w:r>
      <w:r w:rsidRPr="00415046">
        <w:rPr>
          <w:rFonts w:ascii="Times New Roman" w:hAnsi="Times New Roman" w:cs="Times New Roman"/>
        </w:rPr>
        <w:fldChar w:fldCharType="begin" w:fldLock="1"/>
      </w:r>
      <w:r w:rsidR="001C4C37" w:rsidRPr="00415046">
        <w:rPr>
          <w:rFonts w:ascii="Times New Roman" w:hAnsi="Times New Roman" w:cs="Times New Roman"/>
        </w:rPr>
        <w:instrText>ADDIN CSL_CITATION {"citationItems":[{"id":"ITEM-1","itemData":{"author":[{"dropping-particle":"","family":"Reznicek","given":"Evan P.","non-dropping-particle":"","parse-names":false,"suffix":""},{"dropping-particle":"","family":"Koleva","given":"Mariya","non-dropping-particle":"","parse-names":false,"suffix":""},{"dropping-particle":"","family":"King","given":"Jennifer","non-dropping-particle":"","parse-names":false,"suffix":""},{"dropping-particle":"","family":"Kotarbinski","given":"Matthew","non-dropping-particle":"","parse-names":false,"suffix":""},{"dropping-particle":"","family":"Grant","given":"Elenya Sophia","non-dropping-particle":"","parse-names":false,"suffix":""},{"dropping-particle":"","family":"Vijayshankar","given":"Sanjana","non-dropping-particle":"","parse-names":false,"suffix":""},{"dropping-particle":"","family":"Brunik","given":"Kaitlin","non-dropping-particle":"","parse-names":false,"suffix":""},{"dropping-particle":"","family":"Thomas","given":"Jared","non-dropping-particle":"","parse-names":false,"suffix":""},{"dropping-particle":"","family":"Gupta","given":"Abhineet","non-dropping-particle":"","parse-names":false,"suffix":""},{"dropping-particle":"","family":"Hammond","given":"Steven","non-dropping-particle":"","parse-names":false,"suffix":""},{"dropping-particle":"","family":"Singh","given":"Vivek","non-dropping-particle":"","parse-names":false,"suffix":""},{"dropping-particle":"","family":"Tusing","given":"Richard","non-dropping-particle":"","parse-names":false,"suffix":""},{"dropping-particle":"","family":"Sun","given":"Pingping","non-dropping-particle":"","parse-names":false,"suffix":""},{"dropping-particle":"","family":"Lee","given":"Kyuha","non-dropping-particle":"","parse-names":false,"suffix":""},{"dropping-particle":"","family":"Elgowainy","given":"Amgad","non-dropping-particle":"","parse-names":false,"suffix":""},{"dropping-particle":"","family":"Breunig","given":"Hanna","non-dropping-particle":"","parse-names":false,"suffix":""},{"dropping-particle":"","family":"Rosner","given":"Fabian","non-dropping-particle":"","parse-names":false,"suffix":""},{"dropping-particle":"","family":"Pinto","given":"João Pereira","non-dropping-particle":"","parse-names":false,"suffix":""}],"container-title":"Joule","id":"ITEM-1","issued":{"date-parts":[["2024"]]},"title":"Techno-Economic Analysis of Low-Carbon Hydrogen Production Pathways for Decarbonizing Steel and Ammonia Production","type":"article-journal"},"uris":["http://www.mendeley.com/documents/?uuid=846daff2-1e65-4546-82cc-623abe90e37c"]}],"mendeley":{"formattedCitation":"&lt;sup&gt;7&lt;/sup&gt;","plainTextFormattedCitation":"7","previouslyFormattedCitation":"&lt;sup&gt;7&lt;/sup&gt;"},"properties":{"noteIndex":0},"schema":"https://github.com/citation-style-language/schema/raw/master/csl-citation.json"}</w:instrText>
      </w:r>
      <w:r w:rsidRPr="00415046">
        <w:rPr>
          <w:rFonts w:ascii="Times New Roman" w:hAnsi="Times New Roman" w:cs="Times New Roman"/>
        </w:rPr>
        <w:fldChar w:fldCharType="separate"/>
      </w:r>
      <w:r w:rsidRPr="00415046">
        <w:rPr>
          <w:rFonts w:ascii="Times New Roman" w:hAnsi="Times New Roman" w:cs="Times New Roman"/>
          <w:noProof/>
          <w:vertAlign w:val="superscript"/>
        </w:rPr>
        <w:t>7</w:t>
      </w:r>
      <w:r w:rsidRPr="00415046">
        <w:rPr>
          <w:rFonts w:ascii="Times New Roman" w:hAnsi="Times New Roman" w:cs="Times New Roman"/>
        </w:rPr>
        <w:fldChar w:fldCharType="end"/>
      </w:r>
      <w:r w:rsidRPr="00415046">
        <w:rPr>
          <w:rFonts w:ascii="Times New Roman" w:hAnsi="Times New Roman" w:cs="Times New Roman"/>
        </w:rPr>
        <w:t xml:space="preserve"> was used to derive hourly renewable profiles, electrolyzer operation and the LCOH based on least-cost electricity generation from wind and solar in the contiguous US (</w:t>
      </w:r>
      <w:r w:rsidRPr="00415046">
        <w:rPr>
          <w:rFonts w:ascii="Times New Roman" w:hAnsi="Times New Roman" w:cs="Times New Roman"/>
          <w:b/>
        </w:rPr>
        <w:t>Fig. S8</w:t>
      </w:r>
      <w:r w:rsidRPr="00415046">
        <w:rPr>
          <w:rFonts w:ascii="Times New Roman" w:hAnsi="Times New Roman" w:cs="Times New Roman"/>
        </w:rPr>
        <w:t>).</w:t>
      </w:r>
    </w:p>
    <w:p w14:paraId="555A9AC4" w14:textId="51D564FF" w:rsidR="004145F3" w:rsidRPr="00415046" w:rsidRDefault="00A6679A" w:rsidP="007E2130">
      <w:pPr>
        <w:spacing w:line="240" w:lineRule="auto"/>
        <w:rPr>
          <w:rFonts w:ascii="Times New Roman" w:hAnsi="Times New Roman" w:cs="Times New Roman"/>
        </w:rPr>
      </w:pPr>
      <w:r>
        <w:rPr>
          <w:rFonts w:ascii="Times New Roman" w:hAnsi="Times New Roman" w:cs="Times New Roman"/>
          <w:noProof/>
        </w:rPr>
        <w:lastRenderedPageBreak/>
        <w:drawing>
          <wp:inline distT="0" distB="0" distL="0" distR="0" wp14:anchorId="02907749" wp14:editId="100BEE2A">
            <wp:extent cx="5943600" cy="39731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8.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73195"/>
                    </a:xfrm>
                    <a:prstGeom prst="rect">
                      <a:avLst/>
                    </a:prstGeom>
                  </pic:spPr>
                </pic:pic>
              </a:graphicData>
            </a:graphic>
          </wp:inline>
        </w:drawing>
      </w:r>
    </w:p>
    <w:p w14:paraId="7BEFBECE" w14:textId="3690C9A1" w:rsidR="003C31C7" w:rsidRPr="004A6504" w:rsidRDefault="004A6504" w:rsidP="004A6504">
      <w:pPr>
        <w:pStyle w:val="Caption"/>
        <w:rPr>
          <w:rFonts w:ascii="Times New Roman" w:hAnsi="Times New Roman" w:cs="Times New Roman"/>
          <w:color w:val="auto"/>
          <w:sz w:val="22"/>
          <w:szCs w:val="22"/>
        </w:rPr>
      </w:pPr>
      <w:bookmarkStart w:id="21" w:name="_Toc164699850"/>
      <w:r w:rsidRPr="004A6504">
        <w:rPr>
          <w:rFonts w:ascii="Times New Roman" w:hAnsi="Times New Roman" w:cs="Times New Roman"/>
          <w:color w:val="auto"/>
          <w:sz w:val="22"/>
          <w:szCs w:val="22"/>
        </w:rPr>
        <w:t>Figure S</w:t>
      </w:r>
      <w:r w:rsidRPr="004A6504">
        <w:rPr>
          <w:rFonts w:ascii="Times New Roman" w:hAnsi="Times New Roman" w:cs="Times New Roman"/>
          <w:color w:val="auto"/>
          <w:sz w:val="22"/>
          <w:szCs w:val="22"/>
        </w:rPr>
        <w:fldChar w:fldCharType="begin"/>
      </w:r>
      <w:r w:rsidRPr="004A6504">
        <w:rPr>
          <w:rFonts w:ascii="Times New Roman" w:hAnsi="Times New Roman" w:cs="Times New Roman"/>
          <w:color w:val="auto"/>
          <w:sz w:val="22"/>
          <w:szCs w:val="22"/>
        </w:rPr>
        <w:instrText xml:space="preserve"> SEQ Figure \* ARABIC </w:instrText>
      </w:r>
      <w:r w:rsidRPr="004A6504">
        <w:rPr>
          <w:rFonts w:ascii="Times New Roman" w:hAnsi="Times New Roman" w:cs="Times New Roman"/>
          <w:color w:val="auto"/>
          <w:sz w:val="22"/>
          <w:szCs w:val="22"/>
        </w:rPr>
        <w:fldChar w:fldCharType="separate"/>
      </w:r>
      <w:r>
        <w:rPr>
          <w:rFonts w:ascii="Times New Roman" w:hAnsi="Times New Roman" w:cs="Times New Roman"/>
          <w:noProof/>
          <w:color w:val="auto"/>
          <w:sz w:val="22"/>
          <w:szCs w:val="22"/>
        </w:rPr>
        <w:t>8</w:t>
      </w:r>
      <w:r w:rsidRPr="004A6504">
        <w:rPr>
          <w:rFonts w:ascii="Times New Roman" w:hAnsi="Times New Roman" w:cs="Times New Roman"/>
          <w:color w:val="auto"/>
          <w:sz w:val="22"/>
          <w:szCs w:val="22"/>
        </w:rPr>
        <w:fldChar w:fldCharType="end"/>
      </w:r>
      <w:r w:rsidRPr="004A6504">
        <w:rPr>
          <w:rFonts w:ascii="Times New Roman" w:hAnsi="Times New Roman" w:cs="Times New Roman"/>
          <w:color w:val="auto"/>
          <w:sz w:val="22"/>
          <w:szCs w:val="22"/>
        </w:rPr>
        <w:t xml:space="preserve"> | Production cost (LCOH) of H</w:t>
      </w:r>
      <w:r w:rsidRPr="004A6504">
        <w:rPr>
          <w:rFonts w:ascii="Times New Roman" w:hAnsi="Times New Roman" w:cs="Times New Roman"/>
          <w:color w:val="auto"/>
          <w:sz w:val="22"/>
          <w:szCs w:val="22"/>
          <w:vertAlign w:val="subscript"/>
        </w:rPr>
        <w:t>2</w:t>
      </w:r>
      <w:r w:rsidRPr="004A6504">
        <w:rPr>
          <w:rFonts w:ascii="Times New Roman" w:hAnsi="Times New Roman" w:cs="Times New Roman"/>
          <w:color w:val="auto"/>
          <w:sz w:val="22"/>
          <w:szCs w:val="22"/>
        </w:rPr>
        <w:t xml:space="preserve"> from wind and solar generation powering 1 GW electrolyzer systems. Data generated using the </w:t>
      </w:r>
      <w:proofErr w:type="spellStart"/>
      <w:r w:rsidRPr="004A6504">
        <w:rPr>
          <w:rFonts w:ascii="Times New Roman" w:hAnsi="Times New Roman" w:cs="Times New Roman"/>
          <w:color w:val="auto"/>
          <w:sz w:val="22"/>
          <w:szCs w:val="22"/>
        </w:rPr>
        <w:t>GreenHEART</w:t>
      </w:r>
      <w:proofErr w:type="spellEnd"/>
      <w:r w:rsidRPr="004A6504">
        <w:rPr>
          <w:rFonts w:ascii="Times New Roman" w:hAnsi="Times New Roman" w:cs="Times New Roman"/>
          <w:color w:val="auto"/>
          <w:sz w:val="22"/>
          <w:szCs w:val="22"/>
        </w:rPr>
        <w:t xml:space="preserve"> model.</w:t>
      </w:r>
      <w:bookmarkEnd w:id="21"/>
    </w:p>
    <w:p w14:paraId="0DFF1DEE" w14:textId="33A9A95C" w:rsidR="003C31C7" w:rsidRPr="00415046" w:rsidRDefault="003C31C7" w:rsidP="007E2130">
      <w:pPr>
        <w:spacing w:line="240" w:lineRule="auto"/>
        <w:rPr>
          <w:rFonts w:ascii="Times New Roman" w:hAnsi="Times New Roman" w:cs="Times New Roman"/>
        </w:rPr>
      </w:pPr>
      <w:r w:rsidRPr="00415046">
        <w:rPr>
          <w:rFonts w:ascii="Times New Roman" w:hAnsi="Times New Roman" w:cs="Times New Roman"/>
        </w:rPr>
        <w:t>Dehydrogenation capacity tends to be much higher than 200 TPD for the 1-GW-scale electrolyzer facilities (</w:t>
      </w:r>
      <w:r w:rsidRPr="00415046">
        <w:rPr>
          <w:rFonts w:ascii="Times New Roman" w:hAnsi="Times New Roman" w:cs="Times New Roman"/>
          <w:b/>
        </w:rPr>
        <w:t>Fig. 6</w:t>
      </w:r>
      <w:r w:rsidRPr="00415046">
        <w:rPr>
          <w:rFonts w:ascii="Times New Roman" w:hAnsi="Times New Roman" w:cs="Times New Roman"/>
        </w:rPr>
        <w:t xml:space="preserve"> in the manuscript). As the nameplate capacity of the electrolyzers is set to 449 TPD, a </w:t>
      </w:r>
      <w:r w:rsidR="00F56CA5" w:rsidRPr="00415046">
        <w:rPr>
          <w:rFonts w:ascii="Times New Roman" w:hAnsi="Times New Roman" w:cs="Times New Roman"/>
        </w:rPr>
        <w:t>median</w:t>
      </w:r>
      <w:r w:rsidRPr="00415046">
        <w:rPr>
          <w:rFonts w:ascii="Times New Roman" w:hAnsi="Times New Roman" w:cs="Times New Roman"/>
        </w:rPr>
        <w:t xml:space="preserve"> capacity factor of 56% is achieved for the electrolyzers thanks to the storage system. As plotted in </w:t>
      </w:r>
      <w:r w:rsidRPr="00415046">
        <w:rPr>
          <w:rFonts w:ascii="Times New Roman" w:hAnsi="Times New Roman" w:cs="Times New Roman"/>
          <w:b/>
        </w:rPr>
        <w:t>Fig. S9</w:t>
      </w:r>
      <w:r w:rsidRPr="00415046">
        <w:rPr>
          <w:rFonts w:ascii="Times New Roman" w:hAnsi="Times New Roman" w:cs="Times New Roman"/>
        </w:rPr>
        <w:t xml:space="preserve">, </w:t>
      </w:r>
      <w:r w:rsidR="00F56CA5" w:rsidRPr="00415046">
        <w:rPr>
          <w:rFonts w:ascii="Times New Roman" w:hAnsi="Times New Roman" w:cs="Times New Roman"/>
        </w:rPr>
        <w:t>the frequency of large hydrogenation capacities is much less, with a tendency towards capacities below 200 TPD in locations with favorable wind and solar resources. This reflects the limited difference between the nameplate capacity of the electrolyzer, and the annual average hydrogen produced. It is thus logical that this map is the inverse of the dehydrogenation facility, as a high annual average hydrogen production leads to a high dehydrogenation capacity.</w:t>
      </w:r>
    </w:p>
    <w:p w14:paraId="620D8D87" w14:textId="4F925EBB" w:rsidR="00F36AA0" w:rsidRPr="00415046" w:rsidRDefault="00F36AA0" w:rsidP="007E2130">
      <w:pPr>
        <w:spacing w:line="240" w:lineRule="auto"/>
        <w:rPr>
          <w:rFonts w:ascii="Times New Roman" w:hAnsi="Times New Roman" w:cs="Times New Roman"/>
        </w:rPr>
      </w:pPr>
      <w:r w:rsidRPr="00415046">
        <w:rPr>
          <w:rFonts w:ascii="Times New Roman" w:hAnsi="Times New Roman" w:cs="Times New Roman"/>
          <w:noProof/>
        </w:rPr>
        <w:lastRenderedPageBreak/>
        <w:drawing>
          <wp:inline distT="0" distB="0" distL="0" distR="0" wp14:anchorId="3D4906C0" wp14:editId="00B3CD66">
            <wp:extent cx="5943600" cy="39687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968750"/>
                    </a:xfrm>
                    <a:prstGeom prst="rect">
                      <a:avLst/>
                    </a:prstGeom>
                    <a:noFill/>
                    <a:ln>
                      <a:noFill/>
                    </a:ln>
                  </pic:spPr>
                </pic:pic>
              </a:graphicData>
            </a:graphic>
          </wp:inline>
        </w:drawing>
      </w:r>
    </w:p>
    <w:p w14:paraId="268DC66A" w14:textId="3E3B5B3C" w:rsidR="004A6504" w:rsidRPr="004A6504" w:rsidRDefault="004A6504" w:rsidP="004A6504">
      <w:pPr>
        <w:pStyle w:val="Caption"/>
        <w:rPr>
          <w:rFonts w:ascii="Times New Roman" w:hAnsi="Times New Roman" w:cs="Times New Roman"/>
          <w:color w:val="auto"/>
          <w:sz w:val="22"/>
          <w:szCs w:val="22"/>
        </w:rPr>
      </w:pPr>
      <w:bookmarkStart w:id="22" w:name="_Toc164699851"/>
      <w:r w:rsidRPr="004A6504">
        <w:rPr>
          <w:rFonts w:ascii="Times New Roman" w:hAnsi="Times New Roman" w:cs="Times New Roman"/>
          <w:color w:val="auto"/>
          <w:sz w:val="22"/>
          <w:szCs w:val="22"/>
        </w:rPr>
        <w:t>Figure S</w:t>
      </w:r>
      <w:r w:rsidRPr="004A6504">
        <w:rPr>
          <w:rFonts w:ascii="Times New Roman" w:hAnsi="Times New Roman" w:cs="Times New Roman"/>
          <w:color w:val="auto"/>
          <w:sz w:val="22"/>
          <w:szCs w:val="22"/>
        </w:rPr>
        <w:fldChar w:fldCharType="begin"/>
      </w:r>
      <w:r w:rsidRPr="004A6504">
        <w:rPr>
          <w:rFonts w:ascii="Times New Roman" w:hAnsi="Times New Roman" w:cs="Times New Roman"/>
          <w:color w:val="auto"/>
          <w:sz w:val="22"/>
          <w:szCs w:val="22"/>
        </w:rPr>
        <w:instrText xml:space="preserve"> SEQ Figure \* ARABIC </w:instrText>
      </w:r>
      <w:r w:rsidRPr="004A6504">
        <w:rPr>
          <w:rFonts w:ascii="Times New Roman" w:hAnsi="Times New Roman" w:cs="Times New Roman"/>
          <w:color w:val="auto"/>
          <w:sz w:val="22"/>
          <w:szCs w:val="22"/>
        </w:rPr>
        <w:fldChar w:fldCharType="separate"/>
      </w:r>
      <w:r w:rsidRPr="004A6504">
        <w:rPr>
          <w:rFonts w:ascii="Times New Roman" w:hAnsi="Times New Roman" w:cs="Times New Roman"/>
          <w:noProof/>
          <w:color w:val="auto"/>
          <w:sz w:val="22"/>
          <w:szCs w:val="22"/>
        </w:rPr>
        <w:t>9</w:t>
      </w:r>
      <w:r w:rsidRPr="004A6504">
        <w:rPr>
          <w:rFonts w:ascii="Times New Roman" w:hAnsi="Times New Roman" w:cs="Times New Roman"/>
          <w:color w:val="auto"/>
          <w:sz w:val="22"/>
          <w:szCs w:val="22"/>
        </w:rPr>
        <w:fldChar w:fldCharType="end"/>
      </w:r>
      <w:r w:rsidRPr="004A6504">
        <w:rPr>
          <w:rFonts w:ascii="Times New Roman" w:hAnsi="Times New Roman" w:cs="Times New Roman"/>
          <w:color w:val="auto"/>
          <w:sz w:val="22"/>
          <w:szCs w:val="22"/>
        </w:rPr>
        <w:t xml:space="preserve"> | Locations with hydrogenation capacity greater than or equal to 200 TPD.</w:t>
      </w:r>
      <w:bookmarkEnd w:id="22"/>
    </w:p>
    <w:p w14:paraId="339C21B8" w14:textId="358DDF76" w:rsidR="00F36AA0" w:rsidRPr="00415046" w:rsidRDefault="00F36AA0" w:rsidP="007E2130">
      <w:pPr>
        <w:spacing w:after="160" w:line="240" w:lineRule="auto"/>
        <w:rPr>
          <w:rFonts w:ascii="Times New Roman" w:hAnsi="Times New Roman" w:cs="Times New Roman"/>
          <w:b/>
        </w:rPr>
      </w:pPr>
      <w:r w:rsidRPr="00415046">
        <w:rPr>
          <w:rFonts w:ascii="Times New Roman" w:hAnsi="Times New Roman" w:cs="Times New Roman"/>
          <w:b/>
        </w:rPr>
        <w:br w:type="page"/>
      </w:r>
    </w:p>
    <w:p w14:paraId="76124C89" w14:textId="2D3A60B1" w:rsidR="00570583" w:rsidRPr="00415046" w:rsidRDefault="00570583" w:rsidP="004245BB">
      <w:pPr>
        <w:pStyle w:val="Heading1"/>
        <w:rPr>
          <w:rFonts w:ascii="Times New Roman" w:hAnsi="Times New Roman" w:cs="Times New Roman"/>
          <w:b/>
          <w:color w:val="auto"/>
          <w:sz w:val="22"/>
          <w:szCs w:val="22"/>
        </w:rPr>
      </w:pPr>
      <w:bookmarkStart w:id="23" w:name="_Toc164699842"/>
      <w:r w:rsidRPr="00415046">
        <w:rPr>
          <w:rFonts w:ascii="Times New Roman" w:hAnsi="Times New Roman" w:cs="Times New Roman"/>
          <w:b/>
          <w:color w:val="auto"/>
          <w:sz w:val="22"/>
          <w:szCs w:val="22"/>
        </w:rPr>
        <w:lastRenderedPageBreak/>
        <w:t>References</w:t>
      </w:r>
      <w:bookmarkEnd w:id="23"/>
    </w:p>
    <w:p w14:paraId="14D1A984" w14:textId="0CFAB9BD" w:rsidR="002E2232" w:rsidRPr="002E2232" w:rsidRDefault="00C444B0"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415046">
        <w:rPr>
          <w:rFonts w:ascii="Times New Roman" w:hAnsi="Times New Roman" w:cs="Times New Roman"/>
        </w:rPr>
        <w:fldChar w:fldCharType="begin" w:fldLock="1"/>
      </w:r>
      <w:r w:rsidRPr="00415046">
        <w:rPr>
          <w:rFonts w:ascii="Times New Roman" w:hAnsi="Times New Roman" w:cs="Times New Roman"/>
        </w:rPr>
        <w:instrText xml:space="preserve">ADDIN Mendeley Bibliography CSL_BIBLIOGRAPHY </w:instrText>
      </w:r>
      <w:r w:rsidRPr="00415046">
        <w:rPr>
          <w:rFonts w:ascii="Times New Roman" w:hAnsi="Times New Roman" w:cs="Times New Roman"/>
        </w:rPr>
        <w:fldChar w:fldCharType="separate"/>
      </w:r>
      <w:r w:rsidR="002E2232" w:rsidRPr="002E2232">
        <w:rPr>
          <w:rFonts w:ascii="Times New Roman" w:hAnsi="Times New Roman" w:cs="Times New Roman"/>
          <w:noProof/>
          <w:szCs w:val="24"/>
        </w:rPr>
        <w:t>1.</w:t>
      </w:r>
      <w:r w:rsidR="002E2232" w:rsidRPr="002E2232">
        <w:rPr>
          <w:rFonts w:ascii="Times New Roman" w:hAnsi="Times New Roman" w:cs="Times New Roman"/>
          <w:noProof/>
          <w:szCs w:val="24"/>
        </w:rPr>
        <w:tab/>
        <w:t xml:space="preserve">Woods, D. R. Rules of Thumb in Engineering Practice. </w:t>
      </w:r>
      <w:r w:rsidR="002E2232" w:rsidRPr="002E2232">
        <w:rPr>
          <w:rFonts w:ascii="Times New Roman" w:hAnsi="Times New Roman" w:cs="Times New Roman"/>
          <w:i/>
          <w:iCs/>
          <w:noProof/>
          <w:szCs w:val="24"/>
        </w:rPr>
        <w:t>Rules Thumb Eng. Pract.</w:t>
      </w:r>
      <w:r w:rsidR="002E2232" w:rsidRPr="002E2232">
        <w:rPr>
          <w:rFonts w:ascii="Times New Roman" w:hAnsi="Times New Roman" w:cs="Times New Roman"/>
          <w:noProof/>
          <w:szCs w:val="24"/>
        </w:rPr>
        <w:t xml:space="preserve"> 1–458 (2007) doi:10.1002/9783527611119.</w:t>
      </w:r>
    </w:p>
    <w:p w14:paraId="4A60F0C3"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2.</w:t>
      </w:r>
      <w:r w:rsidRPr="002E2232">
        <w:rPr>
          <w:rFonts w:ascii="Times New Roman" w:hAnsi="Times New Roman" w:cs="Times New Roman"/>
          <w:noProof/>
          <w:szCs w:val="24"/>
        </w:rPr>
        <w:tab/>
        <w:t xml:space="preserve">Skone, T. J. Life Cycle Greenhouse Gas Emissions: Natural Gas and Power Production. in </w:t>
      </w:r>
      <w:r w:rsidRPr="002E2232">
        <w:rPr>
          <w:rFonts w:ascii="Times New Roman" w:hAnsi="Times New Roman" w:cs="Times New Roman"/>
          <w:i/>
          <w:iCs/>
          <w:noProof/>
          <w:szCs w:val="24"/>
        </w:rPr>
        <w:t>2015 EIA Energy Conference</w:t>
      </w:r>
      <w:r w:rsidRPr="002E2232">
        <w:rPr>
          <w:rFonts w:ascii="Times New Roman" w:hAnsi="Times New Roman" w:cs="Times New Roman"/>
          <w:noProof/>
          <w:szCs w:val="24"/>
        </w:rPr>
        <w:t xml:space="preserve"> 19 (2015).</w:t>
      </w:r>
    </w:p>
    <w:p w14:paraId="04015172"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3.</w:t>
      </w:r>
      <w:r w:rsidRPr="002E2232">
        <w:rPr>
          <w:rFonts w:ascii="Times New Roman" w:hAnsi="Times New Roman" w:cs="Times New Roman"/>
          <w:noProof/>
          <w:szCs w:val="24"/>
        </w:rPr>
        <w:tab/>
        <w:t xml:space="preserve">Nicholson, S. &amp; Heath, G. Life Cycle Emissions Factors for Electricity Generation Technologies. </w:t>
      </w:r>
      <w:r w:rsidRPr="002E2232">
        <w:rPr>
          <w:rFonts w:ascii="Times New Roman" w:hAnsi="Times New Roman" w:cs="Times New Roman"/>
          <w:i/>
          <w:iCs/>
          <w:noProof/>
          <w:szCs w:val="24"/>
        </w:rPr>
        <w:t>Natl. Renew. Energy Lab.</w:t>
      </w:r>
      <w:r w:rsidRPr="002E2232">
        <w:rPr>
          <w:rFonts w:ascii="Times New Roman" w:hAnsi="Times New Roman" w:cs="Times New Roman"/>
          <w:noProof/>
          <w:szCs w:val="24"/>
        </w:rPr>
        <w:t xml:space="preserve"> 1–4 (2021).</w:t>
      </w:r>
    </w:p>
    <w:p w14:paraId="419E2568"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4.</w:t>
      </w:r>
      <w:r w:rsidRPr="002E2232">
        <w:rPr>
          <w:rFonts w:ascii="Times New Roman" w:hAnsi="Times New Roman" w:cs="Times New Roman"/>
          <w:noProof/>
          <w:szCs w:val="24"/>
        </w:rPr>
        <w:tab/>
        <w:t xml:space="preserve">ERCOT. </w:t>
      </w:r>
      <w:r w:rsidRPr="002E2232">
        <w:rPr>
          <w:rFonts w:ascii="Times New Roman" w:hAnsi="Times New Roman" w:cs="Times New Roman"/>
          <w:i/>
          <w:iCs/>
          <w:noProof/>
          <w:szCs w:val="24"/>
        </w:rPr>
        <w:t>ERCOT Analysis of the Impacts of the Clean Power Plan</w:t>
      </w:r>
      <w:r w:rsidRPr="002E2232">
        <w:rPr>
          <w:rFonts w:ascii="Times New Roman" w:hAnsi="Times New Roman" w:cs="Times New Roman"/>
          <w:noProof/>
          <w:szCs w:val="24"/>
        </w:rPr>
        <w:t>. http://www.ercot.com/content/news/presentations/2015/ERCOT_Analysis_of_the_Impacts_of_the_Clean_Power_Plan-Final_.pdf (2014).</w:t>
      </w:r>
    </w:p>
    <w:p w14:paraId="6B0DD9F3"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5.</w:t>
      </w:r>
      <w:r w:rsidRPr="002E2232">
        <w:rPr>
          <w:rFonts w:ascii="Times New Roman" w:hAnsi="Times New Roman" w:cs="Times New Roman"/>
          <w:noProof/>
          <w:szCs w:val="24"/>
        </w:rPr>
        <w:tab/>
        <w:t>Argonne National Laboratory. Hydrogen Delivery Scenario Analysis Model (HDSAM).</w:t>
      </w:r>
    </w:p>
    <w:p w14:paraId="0D6F30F2"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6.</w:t>
      </w:r>
      <w:r w:rsidRPr="002E2232">
        <w:rPr>
          <w:rFonts w:ascii="Times New Roman" w:hAnsi="Times New Roman" w:cs="Times New Roman"/>
          <w:noProof/>
          <w:szCs w:val="24"/>
        </w:rPr>
        <w:tab/>
        <w:t xml:space="preserve">Papadias, D. D. &amp; Ahluwalia, R. K. Bulk storage of hydrogen. </w:t>
      </w:r>
      <w:r w:rsidRPr="002E2232">
        <w:rPr>
          <w:rFonts w:ascii="Times New Roman" w:hAnsi="Times New Roman" w:cs="Times New Roman"/>
          <w:i/>
          <w:iCs/>
          <w:noProof/>
          <w:szCs w:val="24"/>
        </w:rPr>
        <w:t>Int. J. Hydrogen Energy</w:t>
      </w:r>
      <w:r w:rsidRPr="002E2232">
        <w:rPr>
          <w:rFonts w:ascii="Times New Roman" w:hAnsi="Times New Roman" w:cs="Times New Roman"/>
          <w:noProof/>
          <w:szCs w:val="24"/>
        </w:rPr>
        <w:t xml:space="preserve"> </w:t>
      </w:r>
      <w:r w:rsidRPr="002E2232">
        <w:rPr>
          <w:rFonts w:ascii="Times New Roman" w:hAnsi="Times New Roman" w:cs="Times New Roman"/>
          <w:b/>
          <w:bCs/>
          <w:noProof/>
          <w:szCs w:val="24"/>
        </w:rPr>
        <w:t>46</w:t>
      </w:r>
      <w:r w:rsidRPr="002E2232">
        <w:rPr>
          <w:rFonts w:ascii="Times New Roman" w:hAnsi="Times New Roman" w:cs="Times New Roman"/>
          <w:noProof/>
          <w:szCs w:val="24"/>
        </w:rPr>
        <w:t>, 34527–34541 (2021).</w:t>
      </w:r>
    </w:p>
    <w:p w14:paraId="7DB57C84"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szCs w:val="24"/>
        </w:rPr>
      </w:pPr>
      <w:r w:rsidRPr="002E2232">
        <w:rPr>
          <w:rFonts w:ascii="Times New Roman" w:hAnsi="Times New Roman" w:cs="Times New Roman"/>
          <w:noProof/>
          <w:szCs w:val="24"/>
        </w:rPr>
        <w:t>7.</w:t>
      </w:r>
      <w:r w:rsidRPr="002E2232">
        <w:rPr>
          <w:rFonts w:ascii="Times New Roman" w:hAnsi="Times New Roman" w:cs="Times New Roman"/>
          <w:noProof/>
          <w:szCs w:val="24"/>
        </w:rPr>
        <w:tab/>
        <w:t xml:space="preserve">Reznicek, E. P. </w:t>
      </w:r>
      <w:r w:rsidRPr="002E2232">
        <w:rPr>
          <w:rFonts w:ascii="Times New Roman" w:hAnsi="Times New Roman" w:cs="Times New Roman"/>
          <w:i/>
          <w:iCs/>
          <w:noProof/>
          <w:szCs w:val="24"/>
        </w:rPr>
        <w:t>et al.</w:t>
      </w:r>
      <w:r w:rsidRPr="002E2232">
        <w:rPr>
          <w:rFonts w:ascii="Times New Roman" w:hAnsi="Times New Roman" w:cs="Times New Roman"/>
          <w:noProof/>
          <w:szCs w:val="24"/>
        </w:rPr>
        <w:t xml:space="preserve"> Techno-Economic Analysis of Low-Carbon Hydrogen Production Pathways for Decarbonizing Steel and Ammonia Production. </w:t>
      </w:r>
      <w:r w:rsidRPr="002E2232">
        <w:rPr>
          <w:rFonts w:ascii="Times New Roman" w:hAnsi="Times New Roman" w:cs="Times New Roman"/>
          <w:i/>
          <w:iCs/>
          <w:noProof/>
          <w:szCs w:val="24"/>
        </w:rPr>
        <w:t>Joule</w:t>
      </w:r>
      <w:r w:rsidRPr="002E2232">
        <w:rPr>
          <w:rFonts w:ascii="Times New Roman" w:hAnsi="Times New Roman" w:cs="Times New Roman"/>
          <w:noProof/>
          <w:szCs w:val="24"/>
        </w:rPr>
        <w:t xml:space="preserve"> (2024).</w:t>
      </w:r>
    </w:p>
    <w:p w14:paraId="3676D488" w14:textId="77777777" w:rsidR="002E2232" w:rsidRPr="002E2232" w:rsidRDefault="002E2232" w:rsidP="002E2232">
      <w:pPr>
        <w:widowControl w:val="0"/>
        <w:autoSpaceDE w:val="0"/>
        <w:autoSpaceDN w:val="0"/>
        <w:adjustRightInd w:val="0"/>
        <w:spacing w:line="240" w:lineRule="auto"/>
        <w:ind w:left="640" w:hanging="640"/>
        <w:rPr>
          <w:rFonts w:ascii="Times New Roman" w:hAnsi="Times New Roman" w:cs="Times New Roman"/>
          <w:noProof/>
        </w:rPr>
      </w:pPr>
      <w:r w:rsidRPr="002E2232">
        <w:rPr>
          <w:rFonts w:ascii="Times New Roman" w:hAnsi="Times New Roman" w:cs="Times New Roman"/>
          <w:noProof/>
          <w:szCs w:val="24"/>
        </w:rPr>
        <w:t>8.</w:t>
      </w:r>
      <w:r w:rsidRPr="002E2232">
        <w:rPr>
          <w:rFonts w:ascii="Times New Roman" w:hAnsi="Times New Roman" w:cs="Times New Roman"/>
          <w:noProof/>
          <w:szCs w:val="24"/>
        </w:rPr>
        <w:tab/>
        <w:t xml:space="preserve">Andersson, J. &amp; Grönkvist, S. Large-scale storage of hydrogen. </w:t>
      </w:r>
      <w:r w:rsidRPr="002E2232">
        <w:rPr>
          <w:rFonts w:ascii="Times New Roman" w:hAnsi="Times New Roman" w:cs="Times New Roman"/>
          <w:i/>
          <w:iCs/>
          <w:noProof/>
          <w:szCs w:val="24"/>
        </w:rPr>
        <w:t>Int. J. Hydrogen Energy</w:t>
      </w:r>
      <w:r w:rsidRPr="002E2232">
        <w:rPr>
          <w:rFonts w:ascii="Times New Roman" w:hAnsi="Times New Roman" w:cs="Times New Roman"/>
          <w:noProof/>
          <w:szCs w:val="24"/>
        </w:rPr>
        <w:t xml:space="preserve"> </w:t>
      </w:r>
      <w:r w:rsidRPr="002E2232">
        <w:rPr>
          <w:rFonts w:ascii="Times New Roman" w:hAnsi="Times New Roman" w:cs="Times New Roman"/>
          <w:b/>
          <w:bCs/>
          <w:noProof/>
          <w:szCs w:val="24"/>
        </w:rPr>
        <w:t>44</w:t>
      </w:r>
      <w:r w:rsidRPr="002E2232">
        <w:rPr>
          <w:rFonts w:ascii="Times New Roman" w:hAnsi="Times New Roman" w:cs="Times New Roman"/>
          <w:noProof/>
          <w:szCs w:val="24"/>
        </w:rPr>
        <w:t>, 11901–11919 (2019).</w:t>
      </w:r>
    </w:p>
    <w:p w14:paraId="77980F17" w14:textId="72525FBC" w:rsidR="00C444B0" w:rsidRPr="00415046" w:rsidRDefault="00C444B0" w:rsidP="007E2130">
      <w:pPr>
        <w:spacing w:line="240" w:lineRule="auto"/>
        <w:rPr>
          <w:rFonts w:ascii="Times New Roman" w:hAnsi="Times New Roman" w:cs="Times New Roman"/>
        </w:rPr>
      </w:pPr>
      <w:r w:rsidRPr="00415046">
        <w:rPr>
          <w:rFonts w:ascii="Times New Roman" w:hAnsi="Times New Roman" w:cs="Times New Roman"/>
        </w:rPr>
        <w:fldChar w:fldCharType="end"/>
      </w:r>
    </w:p>
    <w:sectPr w:rsidR="00C444B0" w:rsidRPr="00415046">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AFDD4D" w16cex:dateUtc="2024-03-28T19:13:00Z"/>
  <w16cex:commentExtensible w16cex:durableId="29AFDB5F" w16cex:dateUtc="2024-03-28T19:04:00Z"/>
  <w16cex:commentExtensible w16cex:durableId="29AFDFCD" w16cex:dateUtc="2024-03-28T19:23:00Z"/>
  <w16cex:commentExtensible w16cex:durableId="29AFDDC7" w16cex:dateUtc="2024-03-28T19:15:00Z"/>
  <w16cex:commentExtensible w16cex:durableId="29AFDBC1" w16cex:dateUtc="2024-03-28T19:0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5A608D" w14:textId="77777777" w:rsidR="00965654" w:rsidRDefault="00965654" w:rsidP="004D26C6">
      <w:pPr>
        <w:spacing w:line="240" w:lineRule="auto"/>
      </w:pPr>
      <w:r>
        <w:separator/>
      </w:r>
    </w:p>
  </w:endnote>
  <w:endnote w:type="continuationSeparator" w:id="0">
    <w:p w14:paraId="714D0F35" w14:textId="77777777" w:rsidR="00965654" w:rsidRDefault="00965654" w:rsidP="004D26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9479696"/>
      <w:docPartObj>
        <w:docPartGallery w:val="Page Numbers (Bottom of Page)"/>
        <w:docPartUnique/>
      </w:docPartObj>
    </w:sdtPr>
    <w:sdtEndPr>
      <w:rPr>
        <w:noProof/>
      </w:rPr>
    </w:sdtEndPr>
    <w:sdtContent>
      <w:p w14:paraId="1D78F163" w14:textId="4BC06BE6" w:rsidR="00D51999" w:rsidRDefault="00D5199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207807" w14:textId="77777777" w:rsidR="00D51999" w:rsidRDefault="00D519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13DD6F" w14:textId="77777777" w:rsidR="00965654" w:rsidRDefault="00965654" w:rsidP="004D26C6">
      <w:pPr>
        <w:spacing w:line="240" w:lineRule="auto"/>
      </w:pPr>
      <w:r>
        <w:separator/>
      </w:r>
    </w:p>
  </w:footnote>
  <w:footnote w:type="continuationSeparator" w:id="0">
    <w:p w14:paraId="58ADB108" w14:textId="77777777" w:rsidR="00965654" w:rsidRDefault="00965654" w:rsidP="004D26C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7FD"/>
    <w:rsid w:val="000014B8"/>
    <w:rsid w:val="000069C3"/>
    <w:rsid w:val="00035747"/>
    <w:rsid w:val="000365D3"/>
    <w:rsid w:val="00060F9D"/>
    <w:rsid w:val="00065AAB"/>
    <w:rsid w:val="00081466"/>
    <w:rsid w:val="00087E6B"/>
    <w:rsid w:val="000B3148"/>
    <w:rsid w:val="000B7A75"/>
    <w:rsid w:val="001032ED"/>
    <w:rsid w:val="00103859"/>
    <w:rsid w:val="00106398"/>
    <w:rsid w:val="00114CC8"/>
    <w:rsid w:val="00130F8F"/>
    <w:rsid w:val="00161CD7"/>
    <w:rsid w:val="00180554"/>
    <w:rsid w:val="001C4C37"/>
    <w:rsid w:val="001D065F"/>
    <w:rsid w:val="00206CAC"/>
    <w:rsid w:val="00220507"/>
    <w:rsid w:val="00224A57"/>
    <w:rsid w:val="00254BD9"/>
    <w:rsid w:val="002674E5"/>
    <w:rsid w:val="002866FA"/>
    <w:rsid w:val="00287196"/>
    <w:rsid w:val="00291D8A"/>
    <w:rsid w:val="002A54BF"/>
    <w:rsid w:val="002A700F"/>
    <w:rsid w:val="002E2232"/>
    <w:rsid w:val="002E6CF4"/>
    <w:rsid w:val="002F07FD"/>
    <w:rsid w:val="00362027"/>
    <w:rsid w:val="003839C6"/>
    <w:rsid w:val="00384BB4"/>
    <w:rsid w:val="003968EA"/>
    <w:rsid w:val="003C1899"/>
    <w:rsid w:val="003C31C7"/>
    <w:rsid w:val="003D3FD7"/>
    <w:rsid w:val="003F1270"/>
    <w:rsid w:val="004145F3"/>
    <w:rsid w:val="00415046"/>
    <w:rsid w:val="004245BB"/>
    <w:rsid w:val="0043336C"/>
    <w:rsid w:val="00436598"/>
    <w:rsid w:val="00445DF5"/>
    <w:rsid w:val="00463A68"/>
    <w:rsid w:val="00464248"/>
    <w:rsid w:val="004A6504"/>
    <w:rsid w:val="004C6FF6"/>
    <w:rsid w:val="004D26C6"/>
    <w:rsid w:val="004D60D8"/>
    <w:rsid w:val="00517E88"/>
    <w:rsid w:val="0052039C"/>
    <w:rsid w:val="00551994"/>
    <w:rsid w:val="005665C7"/>
    <w:rsid w:val="00570583"/>
    <w:rsid w:val="00593E5D"/>
    <w:rsid w:val="005B12BC"/>
    <w:rsid w:val="005F68E7"/>
    <w:rsid w:val="006052F3"/>
    <w:rsid w:val="00607142"/>
    <w:rsid w:val="00633D59"/>
    <w:rsid w:val="006368A1"/>
    <w:rsid w:val="0066293D"/>
    <w:rsid w:val="006746B6"/>
    <w:rsid w:val="006B42C4"/>
    <w:rsid w:val="006E6E92"/>
    <w:rsid w:val="006E6FF6"/>
    <w:rsid w:val="006F4E37"/>
    <w:rsid w:val="00725DE1"/>
    <w:rsid w:val="00726162"/>
    <w:rsid w:val="00732A49"/>
    <w:rsid w:val="0075761C"/>
    <w:rsid w:val="00762977"/>
    <w:rsid w:val="007C0B95"/>
    <w:rsid w:val="007C6F31"/>
    <w:rsid w:val="007D4252"/>
    <w:rsid w:val="007E2130"/>
    <w:rsid w:val="007E2CA6"/>
    <w:rsid w:val="0082596D"/>
    <w:rsid w:val="00825F03"/>
    <w:rsid w:val="00837497"/>
    <w:rsid w:val="00852FCA"/>
    <w:rsid w:val="0085595A"/>
    <w:rsid w:val="008821CC"/>
    <w:rsid w:val="00883C61"/>
    <w:rsid w:val="00897322"/>
    <w:rsid w:val="00897BA2"/>
    <w:rsid w:val="008D198E"/>
    <w:rsid w:val="008E7C41"/>
    <w:rsid w:val="008F4ECD"/>
    <w:rsid w:val="00906061"/>
    <w:rsid w:val="0090667F"/>
    <w:rsid w:val="0092320A"/>
    <w:rsid w:val="00935163"/>
    <w:rsid w:val="00965654"/>
    <w:rsid w:val="00975D7E"/>
    <w:rsid w:val="009801E5"/>
    <w:rsid w:val="00980609"/>
    <w:rsid w:val="009B2129"/>
    <w:rsid w:val="009C0B2A"/>
    <w:rsid w:val="009C33EB"/>
    <w:rsid w:val="009E3FDC"/>
    <w:rsid w:val="00A11F5F"/>
    <w:rsid w:val="00A46B91"/>
    <w:rsid w:val="00A6679A"/>
    <w:rsid w:val="00A6791F"/>
    <w:rsid w:val="00A878AE"/>
    <w:rsid w:val="00A91467"/>
    <w:rsid w:val="00A92BDB"/>
    <w:rsid w:val="00A94CA7"/>
    <w:rsid w:val="00A97D66"/>
    <w:rsid w:val="00AA64E1"/>
    <w:rsid w:val="00AD2FD2"/>
    <w:rsid w:val="00AD5A9B"/>
    <w:rsid w:val="00B0074D"/>
    <w:rsid w:val="00B15FA5"/>
    <w:rsid w:val="00B25ED9"/>
    <w:rsid w:val="00B3573D"/>
    <w:rsid w:val="00B462D8"/>
    <w:rsid w:val="00BB7945"/>
    <w:rsid w:val="00BE489B"/>
    <w:rsid w:val="00BE7461"/>
    <w:rsid w:val="00BF24D9"/>
    <w:rsid w:val="00C37C76"/>
    <w:rsid w:val="00C444B0"/>
    <w:rsid w:val="00C810D4"/>
    <w:rsid w:val="00C86794"/>
    <w:rsid w:val="00C951B3"/>
    <w:rsid w:val="00CB2BA3"/>
    <w:rsid w:val="00CE044D"/>
    <w:rsid w:val="00CE3A24"/>
    <w:rsid w:val="00CF0BB2"/>
    <w:rsid w:val="00CF7BF7"/>
    <w:rsid w:val="00D35496"/>
    <w:rsid w:val="00D51999"/>
    <w:rsid w:val="00D72599"/>
    <w:rsid w:val="00D74070"/>
    <w:rsid w:val="00DA69FF"/>
    <w:rsid w:val="00DB2938"/>
    <w:rsid w:val="00DB41D0"/>
    <w:rsid w:val="00DC3AE6"/>
    <w:rsid w:val="00DE373D"/>
    <w:rsid w:val="00DF0E7D"/>
    <w:rsid w:val="00E024FD"/>
    <w:rsid w:val="00E44A8B"/>
    <w:rsid w:val="00E514DC"/>
    <w:rsid w:val="00E52C39"/>
    <w:rsid w:val="00E66DFB"/>
    <w:rsid w:val="00E71B55"/>
    <w:rsid w:val="00E75D37"/>
    <w:rsid w:val="00E90782"/>
    <w:rsid w:val="00E91287"/>
    <w:rsid w:val="00E94580"/>
    <w:rsid w:val="00EB3228"/>
    <w:rsid w:val="00EB6CF3"/>
    <w:rsid w:val="00EE111A"/>
    <w:rsid w:val="00EF7473"/>
    <w:rsid w:val="00F31427"/>
    <w:rsid w:val="00F36809"/>
    <w:rsid w:val="00F36AA0"/>
    <w:rsid w:val="00F43AD8"/>
    <w:rsid w:val="00F536C0"/>
    <w:rsid w:val="00F56CA5"/>
    <w:rsid w:val="00F626AF"/>
    <w:rsid w:val="00F653D9"/>
    <w:rsid w:val="00FB688B"/>
    <w:rsid w:val="00FB6ECE"/>
    <w:rsid w:val="00FE5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0A60E"/>
  <w15:chartTrackingRefBased/>
  <w15:docId w15:val="{13EB5547-466E-4613-BA8C-3BAE66C39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1D8A"/>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BF24D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1D8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1D8A"/>
    <w:rPr>
      <w:rFonts w:ascii="Segoe UI" w:eastAsia="Arial" w:hAnsi="Segoe UI" w:cs="Segoe UI"/>
      <w:sz w:val="18"/>
      <w:szCs w:val="18"/>
      <w:lang w:val="en"/>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Arial" w:eastAsia="Arial" w:hAnsi="Arial" w:cs="Arial"/>
      <w:sz w:val="20"/>
      <w:szCs w:val="20"/>
      <w:lang w:val="en"/>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4D26C6"/>
    <w:pPr>
      <w:tabs>
        <w:tab w:val="center" w:pos="4680"/>
        <w:tab w:val="right" w:pos="9360"/>
      </w:tabs>
      <w:spacing w:line="240" w:lineRule="auto"/>
    </w:pPr>
  </w:style>
  <w:style w:type="character" w:customStyle="1" w:styleId="HeaderChar">
    <w:name w:val="Header Char"/>
    <w:basedOn w:val="DefaultParagraphFont"/>
    <w:link w:val="Header"/>
    <w:uiPriority w:val="99"/>
    <w:rsid w:val="004D26C6"/>
    <w:rPr>
      <w:rFonts w:ascii="Arial" w:eastAsia="Arial" w:hAnsi="Arial" w:cs="Arial"/>
      <w:lang w:val="en"/>
    </w:rPr>
  </w:style>
  <w:style w:type="paragraph" w:styleId="Footer">
    <w:name w:val="footer"/>
    <w:basedOn w:val="Normal"/>
    <w:link w:val="FooterChar"/>
    <w:uiPriority w:val="99"/>
    <w:unhideWhenUsed/>
    <w:rsid w:val="004D26C6"/>
    <w:pPr>
      <w:tabs>
        <w:tab w:val="center" w:pos="4680"/>
        <w:tab w:val="right" w:pos="9360"/>
      </w:tabs>
      <w:spacing w:line="240" w:lineRule="auto"/>
    </w:pPr>
  </w:style>
  <w:style w:type="character" w:customStyle="1" w:styleId="FooterChar">
    <w:name w:val="Footer Char"/>
    <w:basedOn w:val="DefaultParagraphFont"/>
    <w:link w:val="Footer"/>
    <w:uiPriority w:val="99"/>
    <w:rsid w:val="004D26C6"/>
    <w:rPr>
      <w:rFonts w:ascii="Arial" w:eastAsia="Arial" w:hAnsi="Arial" w:cs="Arial"/>
      <w:lang w:val="en"/>
    </w:rPr>
  </w:style>
  <w:style w:type="paragraph" w:styleId="FootnoteText">
    <w:name w:val="footnote text"/>
    <w:basedOn w:val="Normal"/>
    <w:link w:val="FootnoteTextChar"/>
    <w:uiPriority w:val="99"/>
    <w:unhideWhenUsed/>
    <w:rsid w:val="009C0B2A"/>
    <w:pPr>
      <w:spacing w:line="240" w:lineRule="auto"/>
    </w:pPr>
    <w:rPr>
      <w:rFonts w:asciiTheme="minorHAnsi" w:eastAsiaTheme="minorHAnsi" w:hAnsiTheme="minorHAnsi" w:cstheme="minorBidi"/>
      <w:sz w:val="20"/>
      <w:szCs w:val="20"/>
      <w:lang w:val="en-US"/>
    </w:rPr>
  </w:style>
  <w:style w:type="character" w:customStyle="1" w:styleId="FootnoteTextChar">
    <w:name w:val="Footnote Text Char"/>
    <w:basedOn w:val="DefaultParagraphFont"/>
    <w:link w:val="FootnoteText"/>
    <w:uiPriority w:val="99"/>
    <w:rsid w:val="009C0B2A"/>
    <w:rPr>
      <w:sz w:val="20"/>
      <w:szCs w:val="20"/>
    </w:rPr>
  </w:style>
  <w:style w:type="character" w:styleId="FootnoteReference">
    <w:name w:val="footnote reference"/>
    <w:basedOn w:val="DefaultParagraphFont"/>
    <w:uiPriority w:val="99"/>
    <w:unhideWhenUsed/>
    <w:rsid w:val="009C0B2A"/>
    <w:rPr>
      <w:vertAlign w:val="superscript"/>
    </w:rPr>
  </w:style>
  <w:style w:type="paragraph" w:styleId="BodyTextIndent">
    <w:name w:val="Body Text Indent"/>
    <w:basedOn w:val="Normal"/>
    <w:link w:val="BodyTextIndentChar"/>
    <w:rsid w:val="006E6E92"/>
    <w:pPr>
      <w:spacing w:after="120" w:line="240" w:lineRule="auto"/>
      <w:ind w:left="283"/>
    </w:pPr>
    <w:rPr>
      <w:rFonts w:ascii="Times New Roman" w:eastAsia="Times New Roman" w:hAnsi="Times New Roman" w:cs="Times New Roman"/>
      <w:sz w:val="20"/>
      <w:szCs w:val="20"/>
      <w:lang w:val="en-US"/>
    </w:rPr>
  </w:style>
  <w:style w:type="character" w:customStyle="1" w:styleId="BodyTextIndentChar">
    <w:name w:val="Body Text Indent Char"/>
    <w:basedOn w:val="DefaultParagraphFont"/>
    <w:link w:val="BodyTextIndent"/>
    <w:rsid w:val="006E6E92"/>
    <w:rPr>
      <w:rFonts w:ascii="Times New Roman" w:eastAsia="Times New Roman" w:hAnsi="Times New Roman" w:cs="Times New Roman"/>
      <w:sz w:val="20"/>
      <w:szCs w:val="20"/>
    </w:rPr>
  </w:style>
  <w:style w:type="paragraph" w:styleId="Revision">
    <w:name w:val="Revision"/>
    <w:hidden/>
    <w:uiPriority w:val="99"/>
    <w:semiHidden/>
    <w:rsid w:val="00035747"/>
    <w:pPr>
      <w:spacing w:after="0" w:line="240" w:lineRule="auto"/>
    </w:pPr>
    <w:rPr>
      <w:rFonts w:ascii="Arial" w:eastAsia="Arial" w:hAnsi="Arial" w:cs="Arial"/>
      <w:lang w:val="en"/>
    </w:rPr>
  </w:style>
  <w:style w:type="paragraph" w:styleId="CommentSubject">
    <w:name w:val="annotation subject"/>
    <w:basedOn w:val="CommentText"/>
    <w:next w:val="CommentText"/>
    <w:link w:val="CommentSubjectChar"/>
    <w:uiPriority w:val="99"/>
    <w:semiHidden/>
    <w:unhideWhenUsed/>
    <w:rsid w:val="006368A1"/>
    <w:rPr>
      <w:b/>
      <w:bCs/>
    </w:rPr>
  </w:style>
  <w:style w:type="character" w:customStyle="1" w:styleId="CommentSubjectChar">
    <w:name w:val="Comment Subject Char"/>
    <w:basedOn w:val="CommentTextChar"/>
    <w:link w:val="CommentSubject"/>
    <w:uiPriority w:val="99"/>
    <w:semiHidden/>
    <w:rsid w:val="006368A1"/>
    <w:rPr>
      <w:rFonts w:ascii="Arial" w:eastAsia="Arial" w:hAnsi="Arial" w:cs="Arial"/>
      <w:b/>
      <w:bCs/>
      <w:sz w:val="20"/>
      <w:szCs w:val="20"/>
      <w:lang w:val="en"/>
    </w:rPr>
  </w:style>
  <w:style w:type="character" w:customStyle="1" w:styleId="Heading1Char">
    <w:name w:val="Heading 1 Char"/>
    <w:basedOn w:val="DefaultParagraphFont"/>
    <w:link w:val="Heading1"/>
    <w:uiPriority w:val="9"/>
    <w:rsid w:val="00BF24D9"/>
    <w:rPr>
      <w:rFonts w:asciiTheme="majorHAnsi" w:eastAsiaTheme="majorEastAsia" w:hAnsiTheme="majorHAnsi" w:cstheme="majorBidi"/>
      <w:color w:val="2F5496" w:themeColor="accent1" w:themeShade="BF"/>
      <w:sz w:val="32"/>
      <w:szCs w:val="32"/>
      <w:lang w:val="en"/>
    </w:rPr>
  </w:style>
  <w:style w:type="paragraph" w:styleId="TOCHeading">
    <w:name w:val="TOC Heading"/>
    <w:basedOn w:val="Heading1"/>
    <w:next w:val="Normal"/>
    <w:uiPriority w:val="39"/>
    <w:unhideWhenUsed/>
    <w:qFormat/>
    <w:rsid w:val="00BF24D9"/>
    <w:pPr>
      <w:spacing w:line="259" w:lineRule="auto"/>
      <w:outlineLvl w:val="9"/>
    </w:pPr>
    <w:rPr>
      <w:lang w:val="en-US"/>
    </w:rPr>
  </w:style>
  <w:style w:type="table" w:styleId="TableGrid">
    <w:name w:val="Table Grid"/>
    <w:basedOn w:val="TableNormal"/>
    <w:uiPriority w:val="39"/>
    <w:rsid w:val="00E024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F653D9"/>
    <w:pPr>
      <w:spacing w:after="100"/>
    </w:pPr>
  </w:style>
  <w:style w:type="character" w:styleId="Hyperlink">
    <w:name w:val="Hyperlink"/>
    <w:basedOn w:val="DefaultParagraphFont"/>
    <w:uiPriority w:val="99"/>
    <w:unhideWhenUsed/>
    <w:rsid w:val="00F653D9"/>
    <w:rPr>
      <w:color w:val="0563C1" w:themeColor="hyperlink"/>
      <w:u w:val="single"/>
    </w:rPr>
  </w:style>
  <w:style w:type="paragraph" w:styleId="Caption">
    <w:name w:val="caption"/>
    <w:basedOn w:val="Normal"/>
    <w:next w:val="Normal"/>
    <w:uiPriority w:val="35"/>
    <w:unhideWhenUsed/>
    <w:qFormat/>
    <w:rsid w:val="00D51999"/>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4D60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05227">
      <w:bodyDiv w:val="1"/>
      <w:marLeft w:val="0"/>
      <w:marRight w:val="0"/>
      <w:marTop w:val="0"/>
      <w:marBottom w:val="0"/>
      <w:divBdr>
        <w:top w:val="none" w:sz="0" w:space="0" w:color="auto"/>
        <w:left w:val="none" w:sz="0" w:space="0" w:color="auto"/>
        <w:bottom w:val="none" w:sz="0" w:space="0" w:color="auto"/>
        <w:right w:val="none" w:sz="0" w:space="0" w:color="auto"/>
      </w:divBdr>
    </w:div>
    <w:div w:id="371544402">
      <w:bodyDiv w:val="1"/>
      <w:marLeft w:val="0"/>
      <w:marRight w:val="0"/>
      <w:marTop w:val="0"/>
      <w:marBottom w:val="0"/>
      <w:divBdr>
        <w:top w:val="none" w:sz="0" w:space="0" w:color="auto"/>
        <w:left w:val="none" w:sz="0" w:space="0" w:color="auto"/>
        <w:bottom w:val="none" w:sz="0" w:space="0" w:color="auto"/>
        <w:right w:val="none" w:sz="0" w:space="0" w:color="auto"/>
      </w:divBdr>
    </w:div>
    <w:div w:id="774712785">
      <w:bodyDiv w:val="1"/>
      <w:marLeft w:val="0"/>
      <w:marRight w:val="0"/>
      <w:marTop w:val="0"/>
      <w:marBottom w:val="0"/>
      <w:divBdr>
        <w:top w:val="none" w:sz="0" w:space="0" w:color="auto"/>
        <w:left w:val="none" w:sz="0" w:space="0" w:color="auto"/>
        <w:bottom w:val="none" w:sz="0" w:space="0" w:color="auto"/>
        <w:right w:val="none" w:sz="0" w:space="0" w:color="auto"/>
      </w:divBdr>
    </w:div>
    <w:div w:id="795294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oleObject" Target="file:///G:\My%20Drive\Syed%20Saqline\2023\Hydrogen\Monte%20Carlo%20analysis.xlsm"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LaCie\Research%202022\wind%20H2\Cost%20economics%20-%20NREL%20data%20breunig%20scaling%20factors%20annual%20storage%20only.xlsm"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tx>
            <c:strRef>
              <c:f>'Error 50001'!$AK$2</c:f>
              <c:strCache>
                <c:ptCount val="1"/>
                <c:pt idx="0">
                  <c:v>Frequency</c:v>
                </c:pt>
              </c:strCache>
            </c:strRef>
          </c:tx>
          <c:spPr>
            <a:ln w="19050" cap="rnd">
              <a:solidFill>
                <a:schemeClr val="tx1"/>
              </a:solidFill>
              <a:round/>
            </a:ln>
            <a:effectLst/>
          </c:spPr>
          <c:marker>
            <c:symbol val="circle"/>
            <c:size val="5"/>
            <c:spPr>
              <a:solidFill>
                <a:schemeClr val="accent1"/>
              </a:solidFill>
              <a:ln w="9525">
                <a:solidFill>
                  <a:schemeClr val="tx1"/>
                </a:solidFill>
              </a:ln>
              <a:effectLst/>
            </c:spPr>
          </c:marker>
          <c:xVal>
            <c:numRef>
              <c:f>'Error 50001'!$AJ$3:$AJ$13</c:f>
              <c:numCache>
                <c:formatCode>General</c:formatCode>
                <c:ptCount val="11"/>
                <c:pt idx="0">
                  <c:v>-0.02</c:v>
                </c:pt>
                <c:pt idx="1">
                  <c:v>-1.4999999999999999E-2</c:v>
                </c:pt>
                <c:pt idx="2">
                  <c:v>-0.01</c:v>
                </c:pt>
                <c:pt idx="3">
                  <c:v>-5.0000000000000001E-3</c:v>
                </c:pt>
                <c:pt idx="4">
                  <c:v>0</c:v>
                </c:pt>
                <c:pt idx="5">
                  <c:v>5.0000000000000001E-3</c:v>
                </c:pt>
                <c:pt idx="6">
                  <c:v>0.01</c:v>
                </c:pt>
                <c:pt idx="7">
                  <c:v>1.4999999999999999E-2</c:v>
                </c:pt>
                <c:pt idx="8">
                  <c:v>0.02</c:v>
                </c:pt>
                <c:pt idx="9">
                  <c:v>2.5000000000000001E-2</c:v>
                </c:pt>
                <c:pt idx="10">
                  <c:v>0.03</c:v>
                </c:pt>
              </c:numCache>
            </c:numRef>
          </c:xVal>
          <c:yVal>
            <c:numRef>
              <c:f>'Error 50001'!$AK$3:$AK$13</c:f>
              <c:numCache>
                <c:formatCode>General</c:formatCode>
                <c:ptCount val="11"/>
                <c:pt idx="0">
                  <c:v>0</c:v>
                </c:pt>
                <c:pt idx="1">
                  <c:v>1</c:v>
                </c:pt>
                <c:pt idx="2">
                  <c:v>5</c:v>
                </c:pt>
                <c:pt idx="3">
                  <c:v>13</c:v>
                </c:pt>
                <c:pt idx="4">
                  <c:v>88</c:v>
                </c:pt>
                <c:pt idx="5">
                  <c:v>637</c:v>
                </c:pt>
                <c:pt idx="6">
                  <c:v>2527</c:v>
                </c:pt>
                <c:pt idx="7">
                  <c:v>12100</c:v>
                </c:pt>
                <c:pt idx="8">
                  <c:v>26578</c:v>
                </c:pt>
                <c:pt idx="9">
                  <c:v>8097</c:v>
                </c:pt>
                <c:pt idx="10">
                  <c:v>6</c:v>
                </c:pt>
              </c:numCache>
            </c:numRef>
          </c:yVal>
          <c:smooth val="1"/>
          <c:extLst>
            <c:ext xmlns:c16="http://schemas.microsoft.com/office/drawing/2014/chart" uri="{C3380CC4-5D6E-409C-BE32-E72D297353CC}">
              <c16:uniqueId val="{00000000-F9E9-4BB9-80C3-A5A2C01E5EA8}"/>
            </c:ext>
          </c:extLst>
        </c:ser>
        <c:dLbls>
          <c:showLegendKey val="0"/>
          <c:showVal val="0"/>
          <c:showCatName val="0"/>
          <c:showSerName val="0"/>
          <c:showPercent val="0"/>
          <c:showBubbleSize val="0"/>
        </c:dLbls>
        <c:axId val="1368717104"/>
        <c:axId val="1368710216"/>
      </c:scatterChart>
      <c:valAx>
        <c:axId val="136871710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Error, $</a:t>
                </a:r>
              </a:p>
            </c:rich>
          </c:tx>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368710216"/>
        <c:crossesAt val="-3.0000000000000006E-2"/>
        <c:crossBetween val="midCat"/>
      </c:valAx>
      <c:valAx>
        <c:axId val="1368710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Frequency</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368717104"/>
        <c:crossesAt val="-3.0000000000000006E-2"/>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latin typeface="Arial" panose="020B0604020202020204" pitchFamily="34" charset="0"/>
          <a:cs typeface="Arial" panose="020B0604020202020204" pitchFamily="34"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981677771047849"/>
          <c:y val="3.9447731755424063E-2"/>
          <c:w val="0.84002204051416651"/>
          <c:h val="0.80131501851671449"/>
        </c:manualLayout>
      </c:layout>
      <c:scatterChart>
        <c:scatterStyle val="smoothMarker"/>
        <c:varyColors val="0"/>
        <c:ser>
          <c:idx val="1"/>
          <c:order val="0"/>
          <c:tx>
            <c:v>10% use, LCOS</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'[Cost economics - NREL data breunig scaling factors annual storage only.xlsm]scalinglinear'!$S$56:$AY$56</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only.xlsm]scalinglinear'!$S$60:$AY$60</c:f>
              <c:numCache>
                <c:formatCode>_(* #,##0.00_);_(* \(#,##0.00\);_(* "-"??_);_(@_)</c:formatCode>
                <c:ptCount val="33"/>
                <c:pt idx="0">
                  <c:v>4.0125326416142544</c:v>
                </c:pt>
                <c:pt idx="1">
                  <c:v>4.0340517595316889</c:v>
                </c:pt>
                <c:pt idx="2">
                  <c:v>4.0555708774491244</c:v>
                </c:pt>
                <c:pt idx="3">
                  <c:v>4.0770899953665598</c:v>
                </c:pt>
                <c:pt idx="4">
                  <c:v>4.0986091132839944</c:v>
                </c:pt>
                <c:pt idx="5">
                  <c:v>4.1201282312014298</c:v>
                </c:pt>
                <c:pt idx="6">
                  <c:v>4.1416473491188643</c:v>
                </c:pt>
                <c:pt idx="7">
                  <c:v>4.1631664670362989</c:v>
                </c:pt>
                <c:pt idx="8">
                  <c:v>4.1846855849537343</c:v>
                </c:pt>
                <c:pt idx="9">
                  <c:v>4.2062047028711698</c:v>
                </c:pt>
                <c:pt idx="10">
                  <c:v>4.2277238207886052</c:v>
                </c:pt>
                <c:pt idx="11">
                  <c:v>4.2492429387060398</c:v>
                </c:pt>
                <c:pt idx="12">
                  <c:v>4.2707620566234743</c:v>
                </c:pt>
                <c:pt idx="13">
                  <c:v>4.2922811745409097</c:v>
                </c:pt>
                <c:pt idx="14">
                  <c:v>4.3138002924583443</c:v>
                </c:pt>
                <c:pt idx="15">
                  <c:v>4.3353194103757797</c:v>
                </c:pt>
                <c:pt idx="16">
                  <c:v>4.3568385282932152</c:v>
                </c:pt>
                <c:pt idx="17">
                  <c:v>4.3783576462106497</c:v>
                </c:pt>
                <c:pt idx="18">
                  <c:v>4.3998767641280851</c:v>
                </c:pt>
                <c:pt idx="19">
                  <c:v>4.4213958820455197</c:v>
                </c:pt>
                <c:pt idx="20">
                  <c:v>4.4429149999629542</c:v>
                </c:pt>
                <c:pt idx="21">
                  <c:v>4.4644341178803897</c:v>
                </c:pt>
                <c:pt idx="22">
                  <c:v>4.4859532357978251</c:v>
                </c:pt>
                <c:pt idx="23">
                  <c:v>4.5074723537152606</c:v>
                </c:pt>
                <c:pt idx="24">
                  <c:v>4.5289914716326951</c:v>
                </c:pt>
                <c:pt idx="25">
                  <c:v>4.5505105895501297</c:v>
                </c:pt>
                <c:pt idx="26">
                  <c:v>4.5720297074675642</c:v>
                </c:pt>
                <c:pt idx="27">
                  <c:v>4.5935488253849996</c:v>
                </c:pt>
                <c:pt idx="28">
                  <c:v>4.6150679433024351</c:v>
                </c:pt>
                <c:pt idx="29">
                  <c:v>4.6365870612198705</c:v>
                </c:pt>
                <c:pt idx="30">
                  <c:v>4.6581061791373042</c:v>
                </c:pt>
                <c:pt idx="31">
                  <c:v>4.6796252970547396</c:v>
                </c:pt>
                <c:pt idx="32">
                  <c:v>4.7011444149721751</c:v>
                </c:pt>
              </c:numCache>
            </c:numRef>
          </c:yVal>
          <c:smooth val="1"/>
          <c:extLst>
            <c:ext xmlns:c16="http://schemas.microsoft.com/office/drawing/2014/chart" uri="{C3380CC4-5D6E-409C-BE32-E72D297353CC}">
              <c16:uniqueId val="{00000000-BD9A-4EE2-8355-4E8A0E586D90}"/>
            </c:ext>
          </c:extLst>
        </c:ser>
        <c:ser>
          <c:idx val="0"/>
          <c:order val="1"/>
          <c:tx>
            <c:v>25% use, LCOS</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'[Cost economics - NREL data breunig scaling factors annual storage only.xlsm]scalinglinear'!$S$33:$AY$33</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only.xlsm]scalinglinear'!$S$37:$AY$37</c:f>
              <c:numCache>
                <c:formatCode>_(* #,##0.00_);_(* \(#,##0.00\);_(* "-"??_);_(@_)</c:formatCode>
                <c:ptCount val="33"/>
                <c:pt idx="0">
                  <c:v>1.8316008030399324</c:v>
                </c:pt>
                <c:pt idx="1">
                  <c:v>1.8402084502069065</c:v>
                </c:pt>
                <c:pt idx="2">
                  <c:v>1.8488160973738803</c:v>
                </c:pt>
                <c:pt idx="3">
                  <c:v>1.8574237445408543</c:v>
                </c:pt>
                <c:pt idx="4">
                  <c:v>1.8660313917078284</c:v>
                </c:pt>
                <c:pt idx="5">
                  <c:v>1.8746390388748027</c:v>
                </c:pt>
                <c:pt idx="6">
                  <c:v>1.8832466860417767</c:v>
                </c:pt>
                <c:pt idx="7">
                  <c:v>1.8918543332087503</c:v>
                </c:pt>
                <c:pt idx="8">
                  <c:v>1.9004619803757243</c:v>
                </c:pt>
                <c:pt idx="9">
                  <c:v>1.9090696275426984</c:v>
                </c:pt>
                <c:pt idx="10">
                  <c:v>1.9176772747096724</c:v>
                </c:pt>
                <c:pt idx="11">
                  <c:v>1.9262849218766467</c:v>
                </c:pt>
                <c:pt idx="12">
                  <c:v>1.9348925690436207</c:v>
                </c:pt>
                <c:pt idx="13">
                  <c:v>1.9435002162105943</c:v>
                </c:pt>
                <c:pt idx="14">
                  <c:v>1.9521078633775684</c:v>
                </c:pt>
                <c:pt idx="15">
                  <c:v>1.9607155105445424</c:v>
                </c:pt>
                <c:pt idx="16">
                  <c:v>1.9693231577115164</c:v>
                </c:pt>
                <c:pt idx="17">
                  <c:v>1.9779308048784907</c:v>
                </c:pt>
                <c:pt idx="18">
                  <c:v>1.9865384520454648</c:v>
                </c:pt>
                <c:pt idx="19">
                  <c:v>1.9951460992124388</c:v>
                </c:pt>
                <c:pt idx="20">
                  <c:v>2.0037537463794126</c:v>
                </c:pt>
                <c:pt idx="21">
                  <c:v>2.0123613935463864</c:v>
                </c:pt>
                <c:pt idx="22">
                  <c:v>2.0209690407133607</c:v>
                </c:pt>
                <c:pt idx="23">
                  <c:v>2.0295766878803345</c:v>
                </c:pt>
                <c:pt idx="24">
                  <c:v>2.0381843350473088</c:v>
                </c:pt>
                <c:pt idx="25">
                  <c:v>2.0467919822142826</c:v>
                </c:pt>
                <c:pt idx="26">
                  <c:v>2.0553996293812564</c:v>
                </c:pt>
                <c:pt idx="27">
                  <c:v>2.0640072765482307</c:v>
                </c:pt>
                <c:pt idx="28">
                  <c:v>2.0726149237152045</c:v>
                </c:pt>
                <c:pt idx="29">
                  <c:v>2.0812225708821788</c:v>
                </c:pt>
                <c:pt idx="30">
                  <c:v>2.0898302180491526</c:v>
                </c:pt>
                <c:pt idx="31">
                  <c:v>2.0984378652161269</c:v>
                </c:pt>
                <c:pt idx="32">
                  <c:v>2.1070455123831007</c:v>
                </c:pt>
              </c:numCache>
            </c:numRef>
          </c:yVal>
          <c:smooth val="1"/>
          <c:extLst>
            <c:ext xmlns:c16="http://schemas.microsoft.com/office/drawing/2014/chart" uri="{C3380CC4-5D6E-409C-BE32-E72D297353CC}">
              <c16:uniqueId val="{00000001-BD9A-4EE2-8355-4E8A0E586D90}"/>
            </c:ext>
          </c:extLst>
        </c:ser>
        <c:ser>
          <c:idx val="2"/>
          <c:order val="2"/>
          <c:tx>
            <c:v>50% use, LCOS</c:v>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'[Cost economics - NREL data breunig scaling factors annual storage only.xlsm]scalinglinear'!$S$56:$AY$56</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only.xlsm]scalinglinear'!$S$62:$AY$62</c:f>
              <c:numCache>
                <c:formatCode>_(* #,##0.00_);_(* \(#,##0.00\);_(* "-"??_);_(@_)</c:formatCode>
                <c:ptCount val="33"/>
                <c:pt idx="0">
                  <c:v>1.1046235235151585</c:v>
                </c:pt>
                <c:pt idx="1">
                  <c:v>1.1089273470986456</c:v>
                </c:pt>
                <c:pt idx="2">
                  <c:v>1.1132311706821325</c:v>
                </c:pt>
                <c:pt idx="3">
                  <c:v>1.1175349942656196</c:v>
                </c:pt>
                <c:pt idx="4">
                  <c:v>1.1218388178491068</c:v>
                </c:pt>
                <c:pt idx="5">
                  <c:v>1.1261426414325935</c:v>
                </c:pt>
                <c:pt idx="6">
                  <c:v>1.1304464650160806</c:v>
                </c:pt>
                <c:pt idx="7">
                  <c:v>1.1347502885995675</c:v>
                </c:pt>
                <c:pt idx="8">
                  <c:v>1.1390541121830546</c:v>
                </c:pt>
                <c:pt idx="9">
                  <c:v>1.1433579357665418</c:v>
                </c:pt>
                <c:pt idx="10">
                  <c:v>1.1476617593500287</c:v>
                </c:pt>
                <c:pt idx="11">
                  <c:v>1.1519655829335156</c:v>
                </c:pt>
                <c:pt idx="12">
                  <c:v>1.1562694065170025</c:v>
                </c:pt>
                <c:pt idx="13">
                  <c:v>1.1605732301004896</c:v>
                </c:pt>
                <c:pt idx="14">
                  <c:v>1.1648770536839765</c:v>
                </c:pt>
                <c:pt idx="15">
                  <c:v>1.1691808772674637</c:v>
                </c:pt>
                <c:pt idx="16">
                  <c:v>1.1734847008509508</c:v>
                </c:pt>
                <c:pt idx="17">
                  <c:v>1.1777885244344377</c:v>
                </c:pt>
                <c:pt idx="18">
                  <c:v>1.1820923480179246</c:v>
                </c:pt>
                <c:pt idx="19">
                  <c:v>1.1863961716014115</c:v>
                </c:pt>
                <c:pt idx="20">
                  <c:v>1.1906999951848987</c:v>
                </c:pt>
                <c:pt idx="21">
                  <c:v>1.1950038187683858</c:v>
                </c:pt>
                <c:pt idx="22">
                  <c:v>1.1993076423518727</c:v>
                </c:pt>
                <c:pt idx="23">
                  <c:v>1.2036114659353598</c:v>
                </c:pt>
                <c:pt idx="24">
                  <c:v>1.2079152895188465</c:v>
                </c:pt>
                <c:pt idx="25">
                  <c:v>1.2122191131023337</c:v>
                </c:pt>
                <c:pt idx="26">
                  <c:v>1.2165229366858206</c:v>
                </c:pt>
                <c:pt idx="27">
                  <c:v>1.2208267602693077</c:v>
                </c:pt>
                <c:pt idx="28">
                  <c:v>1.2251305838527948</c:v>
                </c:pt>
                <c:pt idx="29">
                  <c:v>1.2294344074362817</c:v>
                </c:pt>
                <c:pt idx="30">
                  <c:v>1.2337382310197686</c:v>
                </c:pt>
                <c:pt idx="31">
                  <c:v>1.2380420546032556</c:v>
                </c:pt>
                <c:pt idx="32">
                  <c:v>1.2423458781867427</c:v>
                </c:pt>
              </c:numCache>
            </c:numRef>
          </c:yVal>
          <c:smooth val="1"/>
          <c:extLst>
            <c:ext xmlns:c16="http://schemas.microsoft.com/office/drawing/2014/chart" uri="{C3380CC4-5D6E-409C-BE32-E72D297353CC}">
              <c16:uniqueId val="{00000002-BD9A-4EE2-8355-4E8A0E586D90}"/>
            </c:ext>
          </c:extLst>
        </c:ser>
        <c:ser>
          <c:idx val="4"/>
          <c:order val="3"/>
          <c:tx>
            <c:v>10% use, weighted LCOH</c:v>
          </c:tx>
          <c:spPr>
            <a:ln w="19050" cap="rnd">
              <a:solidFill>
                <a:schemeClr val="accent2">
                  <a:lumMod val="40000"/>
                  <a:lumOff val="60000"/>
                </a:schemeClr>
              </a:solidFill>
              <a:round/>
            </a:ln>
            <a:effectLst/>
          </c:spPr>
          <c:marker>
            <c:symbol val="circle"/>
            <c:size val="5"/>
            <c:spPr>
              <a:solidFill>
                <a:schemeClr val="accent2">
                  <a:lumMod val="40000"/>
                  <a:lumOff val="60000"/>
                </a:schemeClr>
              </a:solidFill>
              <a:ln w="9525">
                <a:solidFill>
                  <a:schemeClr val="accent2">
                    <a:lumMod val="40000"/>
                    <a:lumOff val="60000"/>
                  </a:schemeClr>
                </a:solidFill>
              </a:ln>
              <a:effectLst/>
            </c:spPr>
          </c:marker>
          <c:xVal>
            <c:numRef>
              <c:f>'[Cost economics - NREL data breunig scaling factors annual storage only.xlsm]scalinglinear'!$S$33:$AY$33</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only.xlsm]scalinglinear'!$S$61:$AY$61</c:f>
              <c:numCache>
                <c:formatCode>0.00</c:formatCode>
                <c:ptCount val="33"/>
                <c:pt idx="0">
                  <c:v>1.4012532641614255</c:v>
                </c:pt>
                <c:pt idx="1">
                  <c:v>1.4034051759531689</c:v>
                </c:pt>
                <c:pt idx="2">
                  <c:v>1.4055570877449124</c:v>
                </c:pt>
                <c:pt idx="3">
                  <c:v>1.4077089995366561</c:v>
                </c:pt>
                <c:pt idx="4">
                  <c:v>1.4098609113283993</c:v>
                </c:pt>
                <c:pt idx="5">
                  <c:v>1.4120128231201432</c:v>
                </c:pt>
                <c:pt idx="6">
                  <c:v>1.4141647349118864</c:v>
                </c:pt>
                <c:pt idx="7">
                  <c:v>1.4163166467036299</c:v>
                </c:pt>
                <c:pt idx="8">
                  <c:v>1.4184685584953736</c:v>
                </c:pt>
                <c:pt idx="9">
                  <c:v>1.420620470287117</c:v>
                </c:pt>
                <c:pt idx="10">
                  <c:v>1.4227723820788605</c:v>
                </c:pt>
                <c:pt idx="11">
                  <c:v>1.4249242938706039</c:v>
                </c:pt>
                <c:pt idx="12">
                  <c:v>1.4270762056623474</c:v>
                </c:pt>
                <c:pt idx="13">
                  <c:v>1.4292281174540911</c:v>
                </c:pt>
                <c:pt idx="14">
                  <c:v>1.4313800292458345</c:v>
                </c:pt>
                <c:pt idx="15">
                  <c:v>1.433531941037578</c:v>
                </c:pt>
                <c:pt idx="16">
                  <c:v>1.4356838528293216</c:v>
                </c:pt>
                <c:pt idx="17">
                  <c:v>1.4378357646210649</c:v>
                </c:pt>
                <c:pt idx="18">
                  <c:v>1.4399876764128083</c:v>
                </c:pt>
                <c:pt idx="19">
                  <c:v>1.442139588204552</c:v>
                </c:pt>
                <c:pt idx="20">
                  <c:v>1.4442914999962955</c:v>
                </c:pt>
                <c:pt idx="21">
                  <c:v>1.4464434117880389</c:v>
                </c:pt>
                <c:pt idx="22">
                  <c:v>1.4485953235797826</c:v>
                </c:pt>
                <c:pt idx="23">
                  <c:v>1.4507472353715261</c:v>
                </c:pt>
                <c:pt idx="24">
                  <c:v>1.4528991471632697</c:v>
                </c:pt>
                <c:pt idx="25">
                  <c:v>1.455051058955013</c:v>
                </c:pt>
                <c:pt idx="26">
                  <c:v>1.4572029707467562</c:v>
                </c:pt>
                <c:pt idx="27">
                  <c:v>1.4593548825385001</c:v>
                </c:pt>
                <c:pt idx="28">
                  <c:v>1.4615067943302433</c:v>
                </c:pt>
                <c:pt idx="29">
                  <c:v>1.463658706121987</c:v>
                </c:pt>
                <c:pt idx="30">
                  <c:v>1.4658106179137305</c:v>
                </c:pt>
                <c:pt idx="31">
                  <c:v>1.4679625297054739</c:v>
                </c:pt>
                <c:pt idx="32">
                  <c:v>1.4701144414972176</c:v>
                </c:pt>
              </c:numCache>
            </c:numRef>
          </c:yVal>
          <c:smooth val="1"/>
          <c:extLst>
            <c:ext xmlns:c16="http://schemas.microsoft.com/office/drawing/2014/chart" uri="{C3380CC4-5D6E-409C-BE32-E72D297353CC}">
              <c16:uniqueId val="{00000003-BD9A-4EE2-8355-4E8A0E586D90}"/>
            </c:ext>
          </c:extLst>
        </c:ser>
        <c:ser>
          <c:idx val="3"/>
          <c:order val="4"/>
          <c:tx>
            <c:v>25% use, weighted LCOH</c:v>
          </c:tx>
          <c:spPr>
            <a:ln w="19050" cap="rnd">
              <a:solidFill>
                <a:schemeClr val="accent1">
                  <a:lumMod val="40000"/>
                  <a:lumOff val="60000"/>
                </a:schemeClr>
              </a:solidFill>
              <a:round/>
            </a:ln>
            <a:effectLst/>
          </c:spPr>
          <c:marker>
            <c:symbol val="circle"/>
            <c:size val="5"/>
            <c:spPr>
              <a:solidFill>
                <a:schemeClr val="accent1">
                  <a:lumMod val="40000"/>
                  <a:lumOff val="60000"/>
                </a:schemeClr>
              </a:solidFill>
              <a:ln w="9525">
                <a:solidFill>
                  <a:schemeClr val="accent1">
                    <a:lumMod val="40000"/>
                    <a:lumOff val="60000"/>
                  </a:schemeClr>
                </a:solidFill>
              </a:ln>
              <a:effectLst/>
            </c:spPr>
          </c:marker>
          <c:xVal>
            <c:numRef>
              <c:f>'[Cost economics - NREL data breunig scaling factors annual storage only.xlsm]scalinglinear'!$S$33:$AY$33</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only.xlsm]scalinglinear'!$S$38:$AY$38</c:f>
              <c:numCache>
                <c:formatCode>0.00</c:formatCode>
                <c:ptCount val="33"/>
                <c:pt idx="0">
                  <c:v>1.4579002007599833</c:v>
                </c:pt>
                <c:pt idx="1">
                  <c:v>1.4600521125517265</c:v>
                </c:pt>
                <c:pt idx="2">
                  <c:v>1.4622040243434702</c:v>
                </c:pt>
                <c:pt idx="3">
                  <c:v>1.4643559361352136</c:v>
                </c:pt>
                <c:pt idx="4">
                  <c:v>1.4665078479269569</c:v>
                </c:pt>
                <c:pt idx="5">
                  <c:v>1.4686597597187008</c:v>
                </c:pt>
                <c:pt idx="6">
                  <c:v>1.470811671510444</c:v>
                </c:pt>
                <c:pt idx="7">
                  <c:v>1.4729635833021875</c:v>
                </c:pt>
                <c:pt idx="8">
                  <c:v>1.4751154950939311</c:v>
                </c:pt>
                <c:pt idx="9">
                  <c:v>1.4772674068856746</c:v>
                </c:pt>
                <c:pt idx="10">
                  <c:v>1.4794193186774183</c:v>
                </c:pt>
                <c:pt idx="11">
                  <c:v>1.4815712304691617</c:v>
                </c:pt>
                <c:pt idx="12">
                  <c:v>1.4837231422609052</c:v>
                </c:pt>
                <c:pt idx="13">
                  <c:v>1.4858750540526486</c:v>
                </c:pt>
                <c:pt idx="14">
                  <c:v>1.4880269658443921</c:v>
                </c:pt>
                <c:pt idx="15">
                  <c:v>1.4901788776361355</c:v>
                </c:pt>
                <c:pt idx="16">
                  <c:v>1.492330789427879</c:v>
                </c:pt>
                <c:pt idx="17">
                  <c:v>1.4944827012196227</c:v>
                </c:pt>
                <c:pt idx="18">
                  <c:v>1.4966346130113661</c:v>
                </c:pt>
                <c:pt idx="19">
                  <c:v>1.4987865248031098</c:v>
                </c:pt>
                <c:pt idx="20">
                  <c:v>1.500938436594853</c:v>
                </c:pt>
                <c:pt idx="21">
                  <c:v>1.5030903483865967</c:v>
                </c:pt>
                <c:pt idx="22">
                  <c:v>1.5052422601783402</c:v>
                </c:pt>
                <c:pt idx="23">
                  <c:v>1.5073941719700834</c:v>
                </c:pt>
                <c:pt idx="24">
                  <c:v>1.5095460837618273</c:v>
                </c:pt>
                <c:pt idx="25">
                  <c:v>1.5116979955535705</c:v>
                </c:pt>
                <c:pt idx="26">
                  <c:v>1.5138499073453142</c:v>
                </c:pt>
                <c:pt idx="27">
                  <c:v>1.5160018191370577</c:v>
                </c:pt>
                <c:pt idx="28">
                  <c:v>1.5181537309288009</c:v>
                </c:pt>
                <c:pt idx="29">
                  <c:v>1.5203056427205448</c:v>
                </c:pt>
                <c:pt idx="30">
                  <c:v>1.522457554512288</c:v>
                </c:pt>
                <c:pt idx="31">
                  <c:v>1.5246094663040317</c:v>
                </c:pt>
                <c:pt idx="32">
                  <c:v>1.5267613780957752</c:v>
                </c:pt>
              </c:numCache>
            </c:numRef>
          </c:yVal>
          <c:smooth val="1"/>
          <c:extLst>
            <c:ext xmlns:c16="http://schemas.microsoft.com/office/drawing/2014/chart" uri="{C3380CC4-5D6E-409C-BE32-E72D297353CC}">
              <c16:uniqueId val="{00000004-BD9A-4EE2-8355-4E8A0E586D90}"/>
            </c:ext>
          </c:extLst>
        </c:ser>
        <c:ser>
          <c:idx val="5"/>
          <c:order val="5"/>
          <c:tx>
            <c:v>50% use, weighted LCOH</c:v>
          </c:tx>
          <c:spPr>
            <a:ln w="19050" cap="rnd">
              <a:solidFill>
                <a:schemeClr val="accent6">
                  <a:lumMod val="40000"/>
                  <a:lumOff val="60000"/>
                </a:schemeClr>
              </a:solidFill>
              <a:round/>
            </a:ln>
            <a:effectLst/>
          </c:spPr>
          <c:marker>
            <c:symbol val="circle"/>
            <c:size val="5"/>
            <c:spPr>
              <a:solidFill>
                <a:schemeClr val="accent6">
                  <a:lumMod val="40000"/>
                  <a:lumOff val="60000"/>
                </a:schemeClr>
              </a:solidFill>
              <a:ln w="9525">
                <a:solidFill>
                  <a:schemeClr val="accent6">
                    <a:lumMod val="40000"/>
                    <a:lumOff val="60000"/>
                  </a:schemeClr>
                </a:solidFill>
              </a:ln>
              <a:effectLst/>
            </c:spPr>
          </c:marker>
          <c:xVal>
            <c:numRef>
              <c:f>'[Cost economics - NREL data breunig scaling factors annual storage only.xlsm]scalinglinear'!$S$33:$AY$33</c:f>
              <c:numCache>
                <c:formatCode>General</c:formatCode>
                <c:ptCount val="33"/>
                <c:pt idx="0">
                  <c:v>80</c:v>
                </c:pt>
                <c:pt idx="1">
                  <c:v>90</c:v>
                </c:pt>
                <c:pt idx="2">
                  <c:v>100</c:v>
                </c:pt>
                <c:pt idx="3">
                  <c:v>110</c:v>
                </c:pt>
                <c:pt idx="4">
                  <c:v>120</c:v>
                </c:pt>
                <c:pt idx="5">
                  <c:v>130</c:v>
                </c:pt>
                <c:pt idx="6">
                  <c:v>140</c:v>
                </c:pt>
                <c:pt idx="7">
                  <c:v>150</c:v>
                </c:pt>
                <c:pt idx="8">
                  <c:v>160</c:v>
                </c:pt>
                <c:pt idx="9">
                  <c:v>170</c:v>
                </c:pt>
                <c:pt idx="10">
                  <c:v>180</c:v>
                </c:pt>
                <c:pt idx="11">
                  <c:v>190</c:v>
                </c:pt>
                <c:pt idx="12">
                  <c:v>200</c:v>
                </c:pt>
                <c:pt idx="13">
                  <c:v>210</c:v>
                </c:pt>
                <c:pt idx="14">
                  <c:v>220</c:v>
                </c:pt>
                <c:pt idx="15">
                  <c:v>230</c:v>
                </c:pt>
                <c:pt idx="16">
                  <c:v>240</c:v>
                </c:pt>
                <c:pt idx="17">
                  <c:v>250</c:v>
                </c:pt>
                <c:pt idx="18">
                  <c:v>260</c:v>
                </c:pt>
                <c:pt idx="19">
                  <c:v>270</c:v>
                </c:pt>
                <c:pt idx="20">
                  <c:v>280</c:v>
                </c:pt>
                <c:pt idx="21">
                  <c:v>290</c:v>
                </c:pt>
                <c:pt idx="22">
                  <c:v>300</c:v>
                </c:pt>
                <c:pt idx="23">
                  <c:v>310</c:v>
                </c:pt>
                <c:pt idx="24">
                  <c:v>320</c:v>
                </c:pt>
                <c:pt idx="25">
                  <c:v>330</c:v>
                </c:pt>
                <c:pt idx="26">
                  <c:v>340</c:v>
                </c:pt>
                <c:pt idx="27">
                  <c:v>350</c:v>
                </c:pt>
                <c:pt idx="28">
                  <c:v>360</c:v>
                </c:pt>
                <c:pt idx="29">
                  <c:v>370</c:v>
                </c:pt>
                <c:pt idx="30">
                  <c:v>380</c:v>
                </c:pt>
                <c:pt idx="31">
                  <c:v>390</c:v>
                </c:pt>
                <c:pt idx="32">
                  <c:v>400</c:v>
                </c:pt>
              </c:numCache>
            </c:numRef>
          </c:xVal>
          <c:yVal>
            <c:numRef>
              <c:f>'[Cost economics - NREL data breunig scaling factors annual storage only.xlsm]scalinglinear'!$S$63:$AY$63</c:f>
              <c:numCache>
                <c:formatCode>0.00</c:formatCode>
                <c:ptCount val="33"/>
                <c:pt idx="0">
                  <c:v>1.5523117617575795</c:v>
                </c:pt>
                <c:pt idx="1">
                  <c:v>1.5544636735493227</c:v>
                </c:pt>
                <c:pt idx="2">
                  <c:v>1.5566155853410661</c:v>
                </c:pt>
                <c:pt idx="3">
                  <c:v>1.5587674971328098</c:v>
                </c:pt>
                <c:pt idx="4">
                  <c:v>1.5609194089245535</c:v>
                </c:pt>
                <c:pt idx="5">
                  <c:v>1.563071320716297</c:v>
                </c:pt>
                <c:pt idx="6">
                  <c:v>1.5652232325080402</c:v>
                </c:pt>
                <c:pt idx="7">
                  <c:v>1.5673751442997836</c:v>
                </c:pt>
                <c:pt idx="8">
                  <c:v>1.5695270560915273</c:v>
                </c:pt>
                <c:pt idx="9">
                  <c:v>1.571678967883271</c:v>
                </c:pt>
                <c:pt idx="10">
                  <c:v>1.5738308796750142</c:v>
                </c:pt>
                <c:pt idx="11">
                  <c:v>1.5759827914667577</c:v>
                </c:pt>
                <c:pt idx="12">
                  <c:v>1.5781347032585014</c:v>
                </c:pt>
                <c:pt idx="13">
                  <c:v>1.5802866150502448</c:v>
                </c:pt>
                <c:pt idx="14">
                  <c:v>1.5824385268419883</c:v>
                </c:pt>
                <c:pt idx="15">
                  <c:v>1.5845904386337317</c:v>
                </c:pt>
                <c:pt idx="16">
                  <c:v>1.5867423504254756</c:v>
                </c:pt>
                <c:pt idx="17">
                  <c:v>1.5888942622172189</c:v>
                </c:pt>
                <c:pt idx="18">
                  <c:v>1.5910461740089621</c:v>
                </c:pt>
                <c:pt idx="19">
                  <c:v>1.5931980858007058</c:v>
                </c:pt>
                <c:pt idx="20">
                  <c:v>1.5953499975924492</c:v>
                </c:pt>
                <c:pt idx="21">
                  <c:v>1.5975019093841929</c:v>
                </c:pt>
                <c:pt idx="22">
                  <c:v>1.5996538211759364</c:v>
                </c:pt>
                <c:pt idx="23">
                  <c:v>1.60180573296768</c:v>
                </c:pt>
                <c:pt idx="24">
                  <c:v>1.6039576447594235</c:v>
                </c:pt>
                <c:pt idx="25">
                  <c:v>1.6061095565511667</c:v>
                </c:pt>
                <c:pt idx="26">
                  <c:v>1.6082614683429102</c:v>
                </c:pt>
                <c:pt idx="27">
                  <c:v>1.6104133801346538</c:v>
                </c:pt>
                <c:pt idx="28">
                  <c:v>1.6125652919263975</c:v>
                </c:pt>
                <c:pt idx="29">
                  <c:v>1.6147172037181408</c:v>
                </c:pt>
                <c:pt idx="30">
                  <c:v>1.6168691155098842</c:v>
                </c:pt>
                <c:pt idx="31">
                  <c:v>1.6190210273016279</c:v>
                </c:pt>
                <c:pt idx="32">
                  <c:v>1.6211729390933713</c:v>
                </c:pt>
              </c:numCache>
            </c:numRef>
          </c:yVal>
          <c:smooth val="1"/>
          <c:extLst>
            <c:ext xmlns:c16="http://schemas.microsoft.com/office/drawing/2014/chart" uri="{C3380CC4-5D6E-409C-BE32-E72D297353CC}">
              <c16:uniqueId val="{00000005-BD9A-4EE2-8355-4E8A0E586D90}"/>
            </c:ext>
          </c:extLst>
        </c:ser>
        <c:dLbls>
          <c:showLegendKey val="0"/>
          <c:showVal val="0"/>
          <c:showCatName val="0"/>
          <c:showSerName val="0"/>
          <c:showPercent val="0"/>
          <c:showBubbleSize val="0"/>
        </c:dLbls>
        <c:axId val="93172256"/>
        <c:axId val="406739344"/>
      </c:scatterChart>
      <c:valAx>
        <c:axId val="93172256"/>
        <c:scaling>
          <c:orientation val="minMax"/>
          <c:max val="400"/>
          <c:min val="5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Hydrogenation Capacity [TPD]</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6739344"/>
        <c:crosses val="autoZero"/>
        <c:crossBetween val="midCat"/>
      </c:valAx>
      <c:valAx>
        <c:axId val="406739344"/>
        <c:scaling>
          <c:orientation val="minMax"/>
          <c:min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Levelized Cost [$/kg-H2]</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numFmt formatCode="_(* #,##0.00_);_(* \(#,##0.00\);_(*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172256"/>
        <c:crosses val="autoZero"/>
        <c:crossBetween val="midCat"/>
      </c:valAx>
      <c:spPr>
        <a:noFill/>
        <a:ln>
          <a:noFill/>
        </a:ln>
        <a:effectLst/>
      </c:spPr>
    </c:plotArea>
    <c:legend>
      <c:legendPos val="r"/>
      <c:layout>
        <c:manualLayout>
          <c:xMode val="edge"/>
          <c:yMode val="edge"/>
          <c:x val="0.64753112591695272"/>
          <c:y val="0.26824316406387877"/>
          <c:w val="0.28622955784373111"/>
          <c:h val="0.25551625842358733"/>
        </c:manualLayout>
      </c:layout>
      <c:overlay val="0"/>
      <c:spPr>
        <a:solidFill>
          <a:schemeClr val="bg1"/>
        </a:solid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Arial" panose="020B0604020202020204" pitchFamily="34" charset="0"/>
          <a:cs typeface="Arial" panose="020B0604020202020204" pitchFamily="34"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C1CB09-816C-4846-B411-256741330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8358</Words>
  <Characters>47647</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Lawrence Berkeley National Laboratory</Company>
  <LinksUpToDate>false</LinksUpToDate>
  <CharactersWithSpaces>55894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Breunig</dc:creator>
  <cp:keywords/>
  <dc:description/>
  <cp:lastModifiedBy>Hanna Breunig</cp:lastModifiedBy>
  <cp:revision>2</cp:revision>
  <dcterms:created xsi:type="dcterms:W3CDTF">2024-04-25T23:20:00Z</dcterms:created>
  <dcterms:modified xsi:type="dcterms:W3CDTF">2024-04-25T23:20:00Z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9ac12b3f-acca-3377-95b8-1cce640363ca</vt:lpwstr>
  </property>
  <property fmtid="{D5CDD505-2E9C-101B-9397-08002B2CF9AE}" pid="24" name="Mendeley Citation Style_1">
    <vt:lpwstr>http://www.zotero.org/styles/nature</vt:lpwstr>
  </property>
</Properties>
</file>