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40" w:after="40" w:line="240" w:lineRule="auto"/>
        <w:ind w:right="40" w:rightChars="0"/>
        <w:jc w:val="both"/>
        <w:rPr>
          <w:rFonts w:hint="eastAsia" w:ascii="Times New Roman" w:hAnsi="Times New Roman" w:eastAsia="宋体" w:cs="Times New Roman"/>
          <w:b w:val="0"/>
          <w:bCs w:val="0"/>
          <w:i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b/>
          <w:bCs/>
          <w:i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 xml:space="preserve">Supplementary Table </w:t>
      </w:r>
      <w:r>
        <w:rPr>
          <w:rFonts w:hint="default" w:ascii="Times New Roman" w:hAnsi="Times New Roman" w:eastAsia="宋体" w:cs="Times New Roman"/>
          <w:b/>
          <w:bCs/>
          <w:i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宋体" w:cs="Times New Roman"/>
          <w:b/>
          <w:bCs/>
          <w:i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 xml:space="preserve">Univariate </w:t>
      </w:r>
      <w:r>
        <w:rPr>
          <w:rFonts w:hint="default" w:ascii="Times New Roman" w:hAnsi="Times New Roman" w:eastAsia="宋体" w:cs="Times New Roman"/>
          <w:b w:val="0"/>
          <w:bCs w:val="0"/>
          <w:i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COX </w:t>
      </w:r>
      <w:r>
        <w:rPr>
          <w:rFonts w:hint="default" w:ascii="Times New Roman" w:hAnsi="Times New Roman" w:eastAsia="Times New Roman" w:cs="Times New Roman"/>
          <w:b w:val="0"/>
          <w:bCs w:val="0"/>
          <w:i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regression between variables and 365-day all-cause mortality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40" w:after="40" w:line="240" w:lineRule="auto"/>
        <w:ind w:right="40" w:rightChars="0"/>
        <w:jc w:val="both"/>
        <w:rPr>
          <w:rFonts w:hint="eastAsia" w:ascii="Times New Roman" w:hAnsi="Times New Roman" w:eastAsia="宋体" w:cs="Times New Roman"/>
          <w:b w:val="0"/>
          <w:bCs w:val="0"/>
          <w:i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Supplementary Table 2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Diagnosis of covariance between variables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jc w:val="both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Supplementary Figure 1.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Kaplan-Meyer survival curve based on whether serum chloride is below 106 mmol/L.</w:t>
      </w:r>
      <w:bookmarkStart w:id="0" w:name="_GoBack"/>
      <w:bookmarkEnd w:id="0"/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40" w:after="40" w:line="240" w:lineRule="auto"/>
        <w:ind w:left="40" w:leftChars="0" w:right="40" w:rightChars="0" w:firstLine="0" w:firstLineChars="0"/>
        <w:jc w:val="center"/>
        <w:rPr>
          <w:rFonts w:hint="default" w:ascii="Times New Roman" w:hAnsi="Times New Roman" w:eastAsia="Times New Roman" w:cs="Times New Roman"/>
          <w:b w:val="0"/>
          <w:bCs w:val="0"/>
          <w:i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40" w:after="40" w:line="240" w:lineRule="auto"/>
        <w:ind w:left="40" w:leftChars="0" w:right="40" w:rightChars="0" w:firstLine="0" w:firstLineChars="0"/>
        <w:jc w:val="center"/>
        <w:rPr>
          <w:rFonts w:hint="default" w:ascii="Times New Roman" w:hAnsi="Times New Roman" w:eastAsia="Times New Roman" w:cs="Times New Roman"/>
          <w:b w:val="0"/>
          <w:bCs w:val="0"/>
          <w:i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40" w:after="40" w:line="240" w:lineRule="auto"/>
        <w:ind w:left="40" w:leftChars="0" w:right="40" w:rightChars="0" w:firstLine="0" w:firstLineChars="0"/>
        <w:jc w:val="center"/>
        <w:rPr>
          <w:rFonts w:hint="default" w:ascii="Times New Roman" w:hAnsi="Times New Roman" w:eastAsia="Times New Roman" w:cs="Times New Roman"/>
          <w:b w:val="0"/>
          <w:bCs w:val="0"/>
          <w:i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40" w:after="40" w:line="240" w:lineRule="auto"/>
        <w:ind w:left="40" w:leftChars="0" w:right="40" w:rightChars="0" w:firstLine="0" w:firstLineChars="0"/>
        <w:jc w:val="center"/>
        <w:rPr>
          <w:rFonts w:hint="default" w:ascii="Times New Roman" w:hAnsi="Times New Roman" w:eastAsia="Times New Roman" w:cs="Times New Roman"/>
          <w:b w:val="0"/>
          <w:bCs w:val="0"/>
          <w:i w:val="0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1322"/>
        <w:gridCol w:w="3151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3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Supplementary Table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Univariate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COX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regression between variables and 365-day all-cause mortality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Variables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HR</w:t>
            </w:r>
          </w:p>
        </w:tc>
        <w:tc>
          <w:tcPr>
            <w:tcW w:w="315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200" w:afterAutospacing="0"/>
              <w:ind w:left="0" w:right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95%CI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Age, years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1.01</w:t>
            </w:r>
          </w:p>
        </w:tc>
        <w:tc>
          <w:tcPr>
            <w:tcW w:w="315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1.01 ~ 1.02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right="0" w:rightChars="0" w:firstLine="240" w:firstLineChars="1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right="0" w:rightChars="0" w:firstLine="240" w:firstLineChars="1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0.86 ~ 1.13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0.869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Weight, kg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0.99 ~ 1.00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WBC, k/µL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1.01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1.01 ~ 1.02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RBC, m/µL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0.81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0.72 ~ 0.91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Platelet, k/µL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0.99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0.99 ~ 0.99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RDW,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1.16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1.13 ~ 1.19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Sodium,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0.95 ~ 0.98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Potassium,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1.43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1.29 ~ 1.59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Calcium, mg/dL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1.14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1.04 ~ 1.25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Glucose, mg/dL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1.01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1.01 ~ 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PT, sec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1.03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1.03 ~ 1.04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PTT, sec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1.02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1.01 ~ 1.02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1.42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1.34 ~ 1.51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Anion gap,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1.11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1.10 ~ 1.13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Urea nitrogen, mg/dl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1.01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1.01 ~ 1.01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Creatinine, mg/dl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1.14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1.11 ~ 1.18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SOFA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1.16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1.14 ~ 1.17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SIRS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1.29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1.20 ~ 1.39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APS III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1.03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1.03 ~ 1.03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SAPS II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1.05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1.05 ~ 1.05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1.00 ~ 1.00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0.861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1.00 ~ 1.00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0.96 ~ 0.97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0.92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0.90 ~ 0.95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Hypertension,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0.75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0.65 ~ 0.87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Diabetes,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1.09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0.95 ~ 1.26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Heart failure,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1.56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1.35 ~ 1.79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CKD,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1.29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1.11 ~ 1.50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Stroke,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1.02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(0.79 ~ 1.31)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0.893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COPD,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1.43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1.14 ~ 1.80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irrhosis, n(%)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1.54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1.34 ~ 1.78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MV,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2.00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1.67 ~ 2.39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Enteral nutrition,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1.72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1.23 ~ 2.40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left="0" w:right="0" w:firstLine="0" w:firstLineChars="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Chloride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right="0" w:firstLine="240" w:firstLineChars="10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Reference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right="0" w:firstLine="240" w:firstLineChars="10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0.63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0.53 ~ 0.74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right="0" w:firstLine="240" w:firstLineChars="10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0.43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0.35 ~ 0.52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0" w:after="0" w:line="240" w:lineRule="auto"/>
              <w:ind w:right="0" w:firstLine="240" w:firstLineChars="100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right="4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0.39 ~ 0.55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 w:themeColor="text1"/>
                <w:sz w:val="24"/>
                <w:szCs w:val="24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&lt;0.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93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Abbreviations: GIB, gastrointestinal bleeding; WBC, white blood cell; RBC, red blood cell; RDW, red blood distribution width; PT, prothrombin time; PTT, partial thromboplastin time; INR, international normalized ratio; SOFA, Sequential Organ Failure Assessment; SIRS, Systemic Inflammatory Response Syndrome; APS III, Acute Physiology Score III; SAPS II, simplified acute physiology; SBP, systolic blood pressure; DBP, diastolic blood pressure; MBP, mean blood pressure;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percutaneous arterial oxygen saturation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; CKD, chronic kidney disease; COPD, chronic obstructive pulmonary disease; MV, mechanical ventilation.</w:t>
            </w:r>
          </w:p>
        </w:tc>
      </w:tr>
    </w:tbl>
    <w:p/>
    <w:p/>
    <w:p/>
    <w:p/>
    <w:p/>
    <w:p/>
    <w:p/>
    <w:p/>
    <w:p/>
    <w:p/>
    <w:p/>
    <w:p/>
    <w:tbl>
      <w:tblPr>
        <w:tblStyle w:val="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1630"/>
      </w:tblGrid>
      <w:tr>
        <w:trPr>
          <w:trHeight w:val="454" w:hRule="atLeast"/>
          <w:jc w:val="center"/>
        </w:trPr>
        <w:tc>
          <w:tcPr>
            <w:tcW w:w="3524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Supplementary Table 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. </w:t>
            </w: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Diagnosis of covariance between variables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Variables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GVIF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Age, years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2.185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1.153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Weight, kg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1.234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eastAsia="宋体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WBC, k/µL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RBC, m/µL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1.310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eastAsia="宋体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Platelet, k/µL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RDW,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1.328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bottom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eastAsia="宋体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Sodium,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2.049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bottom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eastAsia="宋体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Potassium,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bottom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eastAsia="宋体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Calcium, mg/dL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1.207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Glucose, mg/dL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bottom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eastAsia="宋体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PT, sec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75.228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bottom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6"/>
                <w:rFonts w:eastAsia="宋体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PTT, sec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1.215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INR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75.913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Anion gap, mmol/l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2.004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Urea nitrogen, mg/dl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2.157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Creatinine, mg/dl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2.128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SOFA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3.881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SIRS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APS III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4.067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SAPS II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4.403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SBP,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DBP,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MBP,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PO</w:t>
            </w: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bottom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Hypertension,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bottom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Diabetes,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bottom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Heart failure,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1.389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CKD,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1.660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Stroke,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COPD,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1.058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bottom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irrhosis, n(%)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1.684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jc w:val="both"/>
              <w:textAlignment w:val="center"/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HLP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1.154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MV,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1.181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Enteral nutrition,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1.032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Chloride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mmol/L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lang w:eastAsia="zh-CN"/>
              </w:rPr>
              <w:t>2.534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0" w:type="auto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GVIF, generalized variance-inflation factors</w:t>
            </w:r>
          </w:p>
        </w:tc>
      </w:tr>
    </w:tbl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4785" cy="3723640"/>
            <wp:effectExtent l="0" t="0" r="2540" b="635"/>
            <wp:docPr id="2" name="图片 2" descr="KM_curve (2)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KM_curve (2)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72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Supplementary Figure 1. Kaplan-Meyer survival curve based on whether serum chloride is below 106 mmol/L.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NzM4YTBlNWYxMjA2YjExN2UyNmY3ODcxNWRmZDEifQ=="/>
  </w:docVars>
  <w:rsids>
    <w:rsidRoot w:val="316E7B0B"/>
    <w:rsid w:val="050F525C"/>
    <w:rsid w:val="0A0F42A8"/>
    <w:rsid w:val="316E7B0B"/>
    <w:rsid w:val="5120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样式1"/>
    <w:basedOn w:val="3"/>
    <w:qFormat/>
    <w:uiPriority w:val="0"/>
    <w:rPr>
      <w:rFonts w:ascii="Calibri" w:hAnsi="Calibri"/>
      <w:sz w:val="24"/>
    </w:rPr>
  </w:style>
  <w:style w:type="paragraph" w:customStyle="1" w:styleId="5">
    <w:name w:val="论文样式"/>
    <w:basedOn w:val="1"/>
    <w:qFormat/>
    <w:uiPriority w:val="0"/>
    <w:pPr>
      <w:tabs>
        <w:tab w:val="left" w:pos="0"/>
      </w:tabs>
      <w:spacing w:line="360" w:lineRule="auto"/>
      <w:ind w:firstLineChars="200"/>
      <w:jc w:val="left"/>
    </w:pPr>
    <w:rPr>
      <w:rFonts w:hint="default" w:asciiTheme="minorAscii" w:hAnsiTheme="minorAscii"/>
      <w:sz w:val="24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2024-04-25T14:09:00Z</dcterms:created>
  <dc:creator>刀锋继业</dc:creator>
  <cp:lastModifiedBy>刀锋继业</cp:lastModifiedBy>
  <dcterms:modified xsi:type="dcterms:W3CDTF">2024-04-25T14:26:51Z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FE9F9CD3649D49D5A459A5F70EB817C7_11</vt:lpwstr>
  </property>
</Properties>
</file>