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eastAsia="zh-CN"/>
        </w:rPr>
      </w:pPr>
      <w:r>
        <w:rPr>
          <w:rFonts w:hint="eastAsia" w:eastAsiaTheme="minorEastAsia"/>
          <w:lang w:eastAsia="zh-CN"/>
        </w:rPr>
        <w:drawing>
          <wp:inline distT="0" distB="0" distL="114300" distR="114300">
            <wp:extent cx="5400040" cy="4335780"/>
            <wp:effectExtent l="0" t="0" r="10160" b="7620"/>
            <wp:docPr id="1" name="图片 1" descr="Supplementary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tary Figure 1"/>
                    <pic:cNvPicPr>
                      <a:picLocks noChangeAspect="1"/>
                    </pic:cNvPicPr>
                  </pic:nvPicPr>
                  <pic:blipFill>
                    <a:blip r:embed="rId4"/>
                    <a:stretch>
                      <a:fillRect/>
                    </a:stretch>
                  </pic:blipFill>
                  <pic:spPr>
                    <a:xfrm>
                      <a:off x="0" y="0"/>
                      <a:ext cx="5400040" cy="433578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hint="eastAsia" w:eastAsiaTheme="minorEastAsia"/>
          <w:lang w:eastAsia="zh-CN"/>
        </w:rPr>
      </w:pPr>
      <w:r>
        <w:rPr>
          <w:rFonts w:hint="eastAsia" w:ascii="Times New Roman" w:hAnsi="Times New Roman" w:cs="Times New Roman"/>
          <w:b/>
          <w:bCs/>
          <w:color w:val="auto"/>
          <w:sz w:val="24"/>
          <w:szCs w:val="24"/>
          <w:lang w:val="en-US" w:eastAsia="zh-CN"/>
        </w:rPr>
        <w:t xml:space="preserve">Supplementary </w:t>
      </w:r>
      <w:r>
        <w:rPr>
          <w:rFonts w:hint="default" w:ascii="Times New Roman" w:hAnsi="Times New Roman" w:cs="Times New Roman"/>
          <w:b/>
          <w:bCs/>
          <w:color w:val="auto"/>
          <w:sz w:val="24"/>
          <w:szCs w:val="24"/>
          <w:lang w:val="en-US" w:eastAsia="zh-CN"/>
        </w:rPr>
        <w:t>Fig 1</w:t>
      </w:r>
      <w:r>
        <w:rPr>
          <w:rFonts w:hint="eastAsia" w:ascii="Times New Roman" w:hAnsi="Times New Roman" w:cs="Times New Roman"/>
          <w:b/>
          <w:bCs/>
          <w:color w:val="auto"/>
          <w:sz w:val="24"/>
          <w:szCs w:val="24"/>
          <w:lang w:val="en-US" w:eastAsia="zh-CN"/>
        </w:rPr>
        <w:t>.</w:t>
      </w:r>
      <w:r>
        <w:rPr>
          <w:rFonts w:hint="default" w:ascii="Times New Roman" w:hAnsi="Times New Roman" w:cs="Times New Roman"/>
          <w:b/>
          <w:bCs/>
          <w:color w:val="auto"/>
          <w:sz w:val="24"/>
          <w:szCs w:val="24"/>
          <w:lang w:val="en-US" w:eastAsia="zh-CN"/>
        </w:rPr>
        <w:t xml:space="preserve"> Screening of hypoxia candidate gene set 1 and unsupervised clustering analysis based on hypoxia-DE-genes</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lang w:val="en-US" w:eastAsia="zh-CN"/>
        </w:rPr>
        <w:t>Screening of hypoxia candidate gene set 2 and Construction of WGCNA co-expression network.</w:t>
      </w:r>
      <w:r>
        <w:rPr>
          <w:rFonts w:hint="eastAsia" w:ascii="Times New Roman" w:hAnsi="Times New Roman" w:cs="Times New Roman"/>
          <w:b/>
          <w:bCs/>
          <w:color w:val="auto"/>
          <w:sz w:val="24"/>
          <w:szCs w:val="24"/>
          <w:lang w:val="en-US" w:eastAsia="zh-CN"/>
        </w:rPr>
        <w:t xml:space="preserve"> </w:t>
      </w:r>
      <w:r>
        <w:rPr>
          <w:rFonts w:hint="eastAsia" w:ascii="Times New Roman" w:hAnsi="Times New Roman" w:cs="Times New Roman"/>
          <w:b w:val="0"/>
          <w:bCs w:val="0"/>
          <w:color w:val="auto"/>
          <w:sz w:val="24"/>
          <w:szCs w:val="24"/>
          <w:lang w:val="en-US" w:eastAsia="zh-CN"/>
        </w:rPr>
        <w:t>(A)</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cs="Times New Roman"/>
          <w:b w:val="0"/>
          <w:bCs w:val="0"/>
          <w:color w:val="auto"/>
          <w:sz w:val="24"/>
          <w:szCs w:val="24"/>
          <w:lang w:val="en-US" w:eastAsia="zh-CN"/>
        </w:rPr>
        <w:t>Volcano plot of DEGs between tumor and control samples in the TCGA-LUNG cohort. Different colors represent different tissue types. The horizontal axis represents log2 Fold change, and the vertical axis represents -log10 adj.p-value.</w:t>
      </w:r>
      <w:r>
        <w:rPr>
          <w:rFonts w:hint="eastAsia" w:ascii="Times New Roman" w:hAnsi="Times New Roman" w:cs="Times New Roman"/>
          <w:b w:val="0"/>
          <w:bCs w:val="0"/>
          <w:color w:val="auto"/>
          <w:sz w:val="24"/>
          <w:szCs w:val="24"/>
          <w:lang w:val="en-US" w:eastAsia="zh-CN"/>
        </w:rPr>
        <w:t xml:space="preserve"> (B) </w:t>
      </w:r>
      <w:r>
        <w:rPr>
          <w:rFonts w:hint="default" w:ascii="Times New Roman" w:hAnsi="Times New Roman" w:cs="Times New Roman"/>
          <w:b w:val="0"/>
          <w:bCs w:val="0"/>
          <w:color w:val="auto"/>
          <w:sz w:val="24"/>
          <w:szCs w:val="24"/>
          <w:lang w:val="en-US" w:eastAsia="zh-CN"/>
        </w:rPr>
        <w:t>Heatmap of DEGs between tumor and control samples in the TCGA-LUNG cohort. Different colors represent different tissue types.</w:t>
      </w:r>
      <w:r>
        <w:rPr>
          <w:rFonts w:hint="eastAsia" w:ascii="Times New Roman" w:hAnsi="Times New Roman" w:cs="Times New Roman"/>
          <w:b w:val="0"/>
          <w:bCs w:val="0"/>
          <w:color w:val="auto"/>
          <w:sz w:val="24"/>
          <w:szCs w:val="24"/>
          <w:lang w:val="en-US" w:eastAsia="zh-CN"/>
        </w:rPr>
        <w:t xml:space="preserve"> (C) </w:t>
      </w:r>
      <w:r>
        <w:rPr>
          <w:rFonts w:hint="default" w:ascii="Times New Roman" w:hAnsi="Times New Roman" w:cs="Times New Roman"/>
          <w:b w:val="0"/>
          <w:bCs w:val="0"/>
          <w:color w:val="auto"/>
          <w:sz w:val="24"/>
          <w:szCs w:val="24"/>
          <w:lang w:val="en-US" w:eastAsia="zh-CN"/>
        </w:rPr>
        <w:t>Screening of k values based on unsupervised cluster analysis of hypoxia-DE-genes in TCGA-LUNG cohort</w:t>
      </w:r>
      <w:r>
        <w:rPr>
          <w:rFonts w:hint="eastAsia" w:ascii="Times New Roman" w:hAnsi="Times New Roman" w:cs="Times New Roman"/>
          <w:b w:val="0"/>
          <w:bCs w:val="0"/>
          <w:color w:val="auto"/>
          <w:sz w:val="24"/>
          <w:szCs w:val="24"/>
          <w:lang w:val="en-US" w:eastAsia="zh-CN"/>
        </w:rPr>
        <w:t xml:space="preserve">. (D) </w:t>
      </w:r>
      <w:r>
        <w:rPr>
          <w:rFonts w:hint="default" w:ascii="Times New Roman" w:hAnsi="Times New Roman" w:cs="Times New Roman"/>
          <w:b w:val="0"/>
          <w:bCs w:val="0"/>
          <w:color w:val="auto"/>
          <w:sz w:val="24"/>
          <w:szCs w:val="24"/>
          <w:lang w:val="en-US" w:eastAsia="zh-CN"/>
        </w:rPr>
        <w:t>CDF curve of unsupervised cluster analysis based on hypoxia-DE-genes in TCGA-LUNG cohort</w:t>
      </w:r>
      <w:r>
        <w:rPr>
          <w:rFonts w:hint="eastAsia" w:ascii="Times New Roman" w:hAnsi="Times New Roman" w:cs="Times New Roman"/>
          <w:b w:val="0"/>
          <w:bCs w:val="0"/>
          <w:color w:val="auto"/>
          <w:sz w:val="24"/>
          <w:szCs w:val="24"/>
          <w:lang w:val="en-US" w:eastAsia="zh-CN"/>
        </w:rPr>
        <w:t xml:space="preserve">. (E) </w:t>
      </w:r>
      <w:r>
        <w:rPr>
          <w:rFonts w:hint="default" w:ascii="Times New Roman" w:hAnsi="Times New Roman" w:cs="Times New Roman"/>
          <w:b w:val="0"/>
          <w:bCs w:val="0"/>
          <w:color w:val="auto"/>
          <w:sz w:val="24"/>
          <w:szCs w:val="24"/>
          <w:lang w:val="en-US" w:eastAsia="zh-CN"/>
        </w:rPr>
        <w:t>PFS survival analysis between the two groups of samples in cluster 1 and cluster 2.</w:t>
      </w:r>
      <w:r>
        <w:rPr>
          <w:rFonts w:hint="eastAsia" w:ascii="Times New Roman" w:hAnsi="Times New Roman" w:cs="Times New Roman"/>
          <w:b w:val="0"/>
          <w:bCs w:val="0"/>
          <w:color w:val="auto"/>
          <w:sz w:val="24"/>
          <w:szCs w:val="24"/>
          <w:lang w:val="en-US" w:eastAsia="zh-CN"/>
        </w:rPr>
        <w:t xml:space="preserve"> (F) </w:t>
      </w:r>
      <w:r>
        <w:rPr>
          <w:rFonts w:hint="default" w:ascii="Times New Roman" w:hAnsi="Times New Roman" w:cs="Times New Roman"/>
          <w:b w:val="0"/>
          <w:bCs w:val="0"/>
          <w:color w:val="auto"/>
          <w:sz w:val="24"/>
          <w:szCs w:val="24"/>
          <w:lang w:val="en-US" w:eastAsia="zh-CN"/>
        </w:rPr>
        <w:t>Heatmap of cd-hypoxia-gene</w:t>
      </w:r>
      <w:r>
        <w:rPr>
          <w:rFonts w:hint="eastAsia" w:ascii="Times New Roman" w:hAnsi="Times New Roman" w:cs="Times New Roman"/>
          <w:b w:val="0"/>
          <w:bCs w:val="0"/>
          <w:color w:val="auto"/>
          <w:sz w:val="24"/>
          <w:szCs w:val="24"/>
          <w:lang w:val="en-US" w:eastAsia="zh-CN"/>
        </w:rPr>
        <w:t xml:space="preserve"> s</w:t>
      </w:r>
      <w:r>
        <w:rPr>
          <w:rFonts w:hint="default" w:ascii="Times New Roman" w:hAnsi="Times New Roman" w:cs="Times New Roman"/>
          <w:b w:val="0"/>
          <w:bCs w:val="0"/>
          <w:color w:val="auto"/>
          <w:sz w:val="24"/>
          <w:szCs w:val="24"/>
          <w:lang w:val="en-US" w:eastAsia="zh-CN"/>
        </w:rPr>
        <w:t xml:space="preserve">et2 gene expression in the TCGA-LUNG cohort. </w:t>
      </w:r>
      <w:r>
        <w:rPr>
          <w:rFonts w:hint="eastAsia" w:ascii="Times New Roman" w:hAnsi="Times New Roman" w:cs="Times New Roman"/>
          <w:b w:val="0"/>
          <w:bCs w:val="0"/>
          <w:color w:val="auto"/>
          <w:sz w:val="24"/>
          <w:szCs w:val="24"/>
          <w:lang w:val="en-US" w:eastAsia="zh-CN"/>
        </w:rPr>
        <w:t xml:space="preserve">(G) </w:t>
      </w:r>
      <w:r>
        <w:rPr>
          <w:rFonts w:hint="default" w:ascii="Times New Roman" w:hAnsi="Times New Roman" w:cs="Times New Roman"/>
          <w:b w:val="0"/>
          <w:bCs w:val="0"/>
          <w:color w:val="auto"/>
          <w:sz w:val="24"/>
          <w:szCs w:val="24"/>
          <w:lang w:val="en-US" w:eastAsia="zh-CN"/>
        </w:rPr>
        <w:t>Principal component analysis (PCA) results of gene expression in cluster 1 and cluster 2 subgroups in the TCGA-LUNG cohort.</w:t>
      </w:r>
      <w:r>
        <w:rPr>
          <w:rFonts w:hint="eastAsia" w:ascii="Times New Roman" w:hAnsi="Times New Roman" w:cs="Times New Roman"/>
          <w:b w:val="0"/>
          <w:bCs w:val="0"/>
          <w:color w:val="auto"/>
          <w:sz w:val="24"/>
          <w:szCs w:val="24"/>
          <w:lang w:val="en-US" w:eastAsia="zh-CN"/>
        </w:rPr>
        <w:t xml:space="preserve"> (H) </w:t>
      </w:r>
      <w:r>
        <w:rPr>
          <w:rFonts w:hint="default" w:ascii="Times New Roman" w:hAnsi="Times New Roman" w:cs="Times New Roman"/>
          <w:b w:val="0"/>
          <w:bCs w:val="0"/>
          <w:color w:val="auto"/>
          <w:sz w:val="24"/>
          <w:szCs w:val="24"/>
          <w:lang w:val="en-US" w:eastAsia="zh-CN"/>
        </w:rPr>
        <w:t>Results of the union of hypoxia-genes, cd-hypoxia-geneset1, and cd-hypoxia-geneset2 genes. A total of 3195 genes were obtained.</w:t>
      </w:r>
      <w:r>
        <w:rPr>
          <w:rFonts w:hint="eastAsia" w:ascii="Times New Roman" w:hAnsi="Times New Roman" w:cs="Times New Roman"/>
          <w:b w:val="0"/>
          <w:bCs w:val="0"/>
          <w:color w:val="auto"/>
          <w:sz w:val="24"/>
          <w:szCs w:val="24"/>
          <w:lang w:val="en-US" w:eastAsia="zh-CN"/>
        </w:rPr>
        <w:t xml:space="preserve"> (I) </w:t>
      </w:r>
      <w:r>
        <w:rPr>
          <w:rFonts w:hint="default" w:ascii="Times New Roman" w:hAnsi="Times New Roman" w:cs="Times New Roman"/>
          <w:b w:val="0"/>
          <w:bCs w:val="0"/>
          <w:color w:val="auto"/>
          <w:sz w:val="24"/>
          <w:szCs w:val="24"/>
          <w:lang w:val="en-US" w:eastAsia="zh-CN"/>
        </w:rPr>
        <w:t>The relationship analysis result between “soft threshold” and “Scale Free Topology Model Fit, signed R^</w:t>
      </w:r>
      <w:r>
        <w:rPr>
          <w:rFonts w:hint="default" w:ascii="Times New Roman" w:hAnsi="Times New Roman" w:cs="Times New Roman"/>
          <w:b w:val="0"/>
          <w:bCs w:val="0"/>
          <w:color w:val="auto"/>
          <w:sz w:val="24"/>
          <w:szCs w:val="24"/>
          <w:vertAlign w:val="baseline"/>
          <w:lang w:val="en-US" w:eastAsia="zh-CN"/>
        </w:rPr>
        <w:t>2”.</w:t>
      </w:r>
      <w:r>
        <w:rPr>
          <w:rFonts w:hint="eastAsia" w:ascii="Times New Roman" w:hAnsi="Times New Roman" w:cs="Times New Roman"/>
          <w:b w:val="0"/>
          <w:bCs w:val="0"/>
          <w:color w:val="auto"/>
          <w:sz w:val="24"/>
          <w:szCs w:val="24"/>
          <w:vertAlign w:val="baseline"/>
          <w:lang w:val="en-US" w:eastAsia="zh-CN"/>
        </w:rPr>
        <w:t xml:space="preserve"> (J) </w:t>
      </w:r>
      <w:r>
        <w:rPr>
          <w:rFonts w:hint="default" w:ascii="Times New Roman" w:hAnsi="Times New Roman" w:cs="Times New Roman"/>
          <w:b w:val="0"/>
          <w:bCs w:val="0"/>
          <w:color w:val="auto"/>
          <w:sz w:val="24"/>
          <w:szCs w:val="24"/>
          <w:lang w:val="en-US" w:eastAsia="zh-CN"/>
        </w:rPr>
        <w:t>Graph of the relationship analysis result between soft threshold and Mean Connectivity.</w:t>
      </w:r>
      <w:r>
        <w:rPr>
          <w:rFonts w:hint="eastAsia" w:ascii="Times New Roman" w:hAnsi="Times New Roman" w:cs="Times New Roman"/>
          <w:b w:val="0"/>
          <w:bCs w:val="0"/>
          <w:color w:val="auto"/>
          <w:sz w:val="24"/>
          <w:szCs w:val="24"/>
          <w:lang w:val="en-US" w:eastAsia="zh-CN"/>
        </w:rPr>
        <w:t xml:space="preserve"> (K) </w:t>
      </w:r>
      <w:r>
        <w:rPr>
          <w:rFonts w:hint="default" w:ascii="Times New Roman" w:hAnsi="Times New Roman" w:cs="Times New Roman"/>
          <w:b w:val="0"/>
          <w:bCs w:val="0"/>
          <w:color w:val="auto"/>
          <w:sz w:val="24"/>
          <w:szCs w:val="24"/>
          <w:lang w:val="en-US" w:eastAsia="zh-CN"/>
        </w:rPr>
        <w:t>Clustering dendrogram of 3195 genes, with dissimilarity based on topological overlap, together with assigned module colors. The height of the ordinate is the clustering distance; Each branch represents a gene.</w:t>
      </w:r>
      <w:r>
        <w:rPr>
          <w:rFonts w:hint="eastAsia" w:ascii="Times New Roman" w:hAnsi="Times New Roman" w:cs="Times New Roman"/>
          <w:b w:val="0"/>
          <w:bCs w:val="0"/>
          <w:color w:val="auto"/>
          <w:sz w:val="24"/>
          <w:szCs w:val="24"/>
          <w:lang w:val="en-US" w:eastAsia="zh-CN"/>
        </w:rPr>
        <w:t xml:space="preserve"> (L) </w:t>
      </w:r>
      <w:r>
        <w:rPr>
          <w:rFonts w:hint="default" w:ascii="Times New Roman" w:hAnsi="Times New Roman" w:cs="Times New Roman"/>
          <w:b w:val="0"/>
          <w:bCs w:val="0"/>
          <w:color w:val="auto"/>
          <w:sz w:val="24"/>
          <w:szCs w:val="24"/>
          <w:lang w:val="en-US" w:eastAsia="zh-CN"/>
        </w:rPr>
        <w:t>Module-trait relationships. Each row corresponds to a module color, column to a trait (cluster, gender, histological type, primary disease, pathologic stage, OS, PFI, DSS, DFI). Each cell contains the corresponding correlation and p-value. The table is color-coded by correlation according to the color legend.</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drawing>
          <wp:inline distT="0" distB="0" distL="114300" distR="114300">
            <wp:extent cx="5400040" cy="7814310"/>
            <wp:effectExtent l="0" t="0" r="10160" b="3810"/>
            <wp:docPr id="2" name="图片 2" descr="Supplementary 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upplementary Figure 2"/>
                    <pic:cNvPicPr>
                      <a:picLocks noChangeAspect="1"/>
                    </pic:cNvPicPr>
                  </pic:nvPicPr>
                  <pic:blipFill>
                    <a:blip r:embed="rId5"/>
                    <a:stretch>
                      <a:fillRect/>
                    </a:stretch>
                  </pic:blipFill>
                  <pic:spPr>
                    <a:xfrm>
                      <a:off x="0" y="0"/>
                      <a:ext cx="5400040" cy="781431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bCs/>
          <w:color w:val="auto"/>
          <w:sz w:val="24"/>
          <w:szCs w:val="24"/>
          <w:lang w:val="en-US" w:eastAsia="zh-CN"/>
        </w:rPr>
        <w:t xml:space="preserve">Supplementary Fig 2. Screening of hub genes related to the prognosis and the gene-TF-lncRNA regulatory network of hub genes in the TCGA-LUNG cohort. </w:t>
      </w:r>
      <w:r>
        <w:rPr>
          <w:rFonts w:hint="eastAsia" w:ascii="Times New Roman" w:hAnsi="Times New Roman" w:cs="Times New Roman"/>
          <w:b w:val="0"/>
          <w:bCs w:val="0"/>
          <w:color w:val="auto"/>
          <w:sz w:val="24"/>
          <w:szCs w:val="24"/>
          <w:lang w:val="en-US" w:eastAsia="zh-CN"/>
        </w:rPr>
        <w:t>(A)</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cs="Times New Roman"/>
          <w:b w:val="0"/>
          <w:bCs w:val="0"/>
          <w:color w:val="auto"/>
          <w:sz w:val="24"/>
          <w:szCs w:val="24"/>
          <w:lang w:val="en-US" w:eastAsia="zh-CN"/>
        </w:rPr>
        <w:t xml:space="preserve">Module-Membership and Gene-Significance Analysis Results for Correlation </w:t>
      </w:r>
      <w:r>
        <w:rPr>
          <w:rFonts w:hint="eastAsia" w:ascii="Times New Roman" w:hAnsi="Times New Roman" w:cs="Times New Roman"/>
          <w:b w:val="0"/>
          <w:bCs w:val="0"/>
          <w:color w:val="auto"/>
          <w:sz w:val="24"/>
          <w:szCs w:val="24"/>
          <w:lang w:val="en-US" w:eastAsia="zh-CN"/>
        </w:rPr>
        <w:t xml:space="preserve"> </w:t>
      </w:r>
      <w:r>
        <w:rPr>
          <w:rFonts w:hint="default" w:ascii="Times New Roman" w:hAnsi="Times New Roman" w:cs="Times New Roman"/>
          <w:b w:val="0"/>
          <w:bCs w:val="0"/>
          <w:color w:val="auto"/>
          <w:sz w:val="24"/>
          <w:szCs w:val="24"/>
          <w:lang w:val="en-US" w:eastAsia="zh-CN"/>
        </w:rPr>
        <w:t>Between Turquoise Module and DFI</w:t>
      </w:r>
      <w:r>
        <w:rPr>
          <w:rFonts w:hint="eastAsia" w:ascii="Times New Roman" w:hAnsi="Times New Roman" w:cs="Times New Roman"/>
          <w:b w:val="0"/>
          <w:bCs w:val="0"/>
          <w:color w:val="auto"/>
          <w:sz w:val="24"/>
          <w:szCs w:val="24"/>
          <w:lang w:val="en-US" w:eastAsia="zh-CN"/>
        </w:rPr>
        <w:t xml:space="preserve">. The horizontal axis represents Module-Membership in turquoise module; the vertical axis represents Gene-Significance for DFI. (B) The connectivity calculation results of each gene within the module, outside the module and the total. </w:t>
      </w:r>
      <w:r>
        <w:rPr>
          <w:rFonts w:hint="eastAsia" w:ascii="Times New Roman" w:hAnsi="Times New Roman" w:cs="Times New Roman"/>
          <w:b/>
          <w:bCs/>
          <w:color w:val="auto"/>
          <w:sz w:val="24"/>
          <w:szCs w:val="24"/>
          <w:lang w:val="en-US" w:eastAsia="zh-CN"/>
        </w:rPr>
        <w:t xml:space="preserve"> </w:t>
      </w:r>
      <w:r>
        <w:rPr>
          <w:rFonts w:hint="eastAsia" w:ascii="Times New Roman" w:hAnsi="Times New Roman" w:cs="Times New Roman"/>
          <w:b w:val="0"/>
          <w:bCs w:val="0"/>
          <w:color w:val="auto"/>
          <w:sz w:val="24"/>
          <w:szCs w:val="24"/>
          <w:lang w:val="en-US" w:eastAsia="zh-CN"/>
        </w:rPr>
        <w:t>Red represents genes; green represents transcription factors; yellow represents lncRNAs. (C) The gene-TF-lncRNA regulatory network of hub genes in the TCGA-LUNG cohort. Red represents genes; green represents transcription factors; yellow represents lncRNAs.</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drawing>
          <wp:inline distT="0" distB="0" distL="114300" distR="114300">
            <wp:extent cx="5400040" cy="5134610"/>
            <wp:effectExtent l="0" t="0" r="10160" b="1270"/>
            <wp:docPr id="3" name="图片 3" descr="Supplementary 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upplementary Figure 3"/>
                    <pic:cNvPicPr>
                      <a:picLocks noChangeAspect="1"/>
                    </pic:cNvPicPr>
                  </pic:nvPicPr>
                  <pic:blipFill>
                    <a:blip r:embed="rId6"/>
                    <a:stretch>
                      <a:fillRect/>
                    </a:stretch>
                  </pic:blipFill>
                  <pic:spPr>
                    <a:xfrm>
                      <a:off x="0" y="0"/>
                      <a:ext cx="5400040" cy="5134610"/>
                    </a:xfrm>
                    <a:prstGeom prst="rect">
                      <a:avLst/>
                    </a:prstGeom>
                  </pic:spPr>
                </pic:pic>
              </a:graphicData>
            </a:graphic>
          </wp:inline>
        </w:drawing>
      </w:r>
      <w:r>
        <w:rPr>
          <w:rFonts w:hint="eastAsia" w:ascii="Times New Roman" w:hAnsi="Times New Roman" w:cs="Times New Roman"/>
          <w:b/>
          <w:bCs/>
          <w:color w:val="auto"/>
          <w:sz w:val="24"/>
          <w:szCs w:val="24"/>
          <w:lang w:val="en-US" w:eastAsia="zh-CN"/>
        </w:rPr>
        <w:t xml:space="preserve">Supplementary Fig 3. </w:t>
      </w:r>
      <w:r>
        <w:rPr>
          <w:rFonts w:hint="default" w:ascii="Times New Roman" w:hAnsi="Times New Roman" w:cs="Times New Roman"/>
          <w:b/>
          <w:bCs/>
          <w:color w:val="auto"/>
          <w:sz w:val="24"/>
          <w:szCs w:val="24"/>
          <w:lang w:val="en-US" w:eastAsia="zh-CN"/>
        </w:rPr>
        <w:t>LASSO analysis of hub genes</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lang w:val="en-US" w:eastAsia="zh-CN"/>
        </w:rPr>
        <w:t>affecting PFS.</w:t>
      </w:r>
      <w:r>
        <w:rPr>
          <w:rFonts w:hint="eastAsia" w:ascii="Times New Roman" w:hAnsi="Times New Roman" w:cs="Times New Roman"/>
          <w:b w:val="0"/>
          <w:bCs w:val="0"/>
          <w:color w:val="auto"/>
          <w:sz w:val="24"/>
          <w:szCs w:val="24"/>
          <w:lang w:val="en-US" w:eastAsia="zh-CN"/>
        </w:rPr>
        <w:t xml:space="preserve"> (A) </w:t>
      </w:r>
      <w:r>
        <w:rPr>
          <w:rFonts w:hint="default" w:ascii="Times New Roman" w:hAnsi="Times New Roman" w:cs="Times New Roman"/>
          <w:b w:val="0"/>
          <w:bCs w:val="0"/>
          <w:color w:val="auto"/>
          <w:sz w:val="24"/>
          <w:szCs w:val="24"/>
          <w:lang w:val="en-US" w:eastAsia="zh-CN"/>
        </w:rPr>
        <w:t>The change trajectory of the independent variable in LASSO regression, the axis of abscissa represents the logarithm of the independent variable Lambda, and the axis of ordinate represents the coefficient of the independent variable</w:t>
      </w:r>
      <w:r>
        <w:rPr>
          <w:rFonts w:hint="eastAsia" w:ascii="Times New Roman" w:hAnsi="Times New Roman" w:cs="Times New Roman"/>
          <w:b w:val="0"/>
          <w:bCs w:val="0"/>
          <w:color w:val="auto"/>
          <w:sz w:val="24"/>
          <w:szCs w:val="24"/>
          <w:lang w:val="en-US" w:eastAsia="zh-CN"/>
        </w:rPr>
        <w:t xml:space="preserve">. (B) </w:t>
      </w:r>
      <w:r>
        <w:rPr>
          <w:rFonts w:hint="default" w:ascii="Times New Roman" w:hAnsi="Times New Roman" w:cs="Times New Roman"/>
          <w:b w:val="0"/>
          <w:bCs w:val="0"/>
          <w:color w:val="auto"/>
          <w:sz w:val="24"/>
          <w:szCs w:val="24"/>
          <w:lang w:val="en-US" w:eastAsia="zh-CN"/>
        </w:rPr>
        <w:t>Confidence interval for each Lambda in LASSO regression</w:t>
      </w:r>
      <w:r>
        <w:rPr>
          <w:rFonts w:hint="eastAsia" w:ascii="Times New Roman" w:hAnsi="Times New Roman" w:cs="Times New Roman"/>
          <w:b w:val="0"/>
          <w:bCs w:val="0"/>
          <w:color w:val="auto"/>
          <w:sz w:val="24"/>
          <w:szCs w:val="24"/>
          <w:lang w:val="en-US" w:eastAsia="zh-CN"/>
        </w:rPr>
        <w:t xml:space="preserve">. (C) </w:t>
      </w:r>
      <w:r>
        <w:rPr>
          <w:rFonts w:hint="default" w:ascii="Times New Roman" w:hAnsi="Times New Roman" w:cs="Times New Roman"/>
          <w:b w:val="0"/>
          <w:bCs w:val="0"/>
          <w:color w:val="auto"/>
          <w:sz w:val="24"/>
          <w:szCs w:val="24"/>
          <w:lang w:val="en-US" w:eastAsia="zh-CN"/>
        </w:rPr>
        <w:t>LASSO regression coefficient of key prognostic genes</w:t>
      </w:r>
      <w:r>
        <w:rPr>
          <w:rFonts w:hint="eastAsia" w:ascii="Times New Roman" w:hAnsi="Times New Roman" w:cs="Times New Roman"/>
          <w:b w:val="0"/>
          <w:bCs w:val="0"/>
          <w:color w:val="auto"/>
          <w:sz w:val="24"/>
          <w:szCs w:val="24"/>
          <w:lang w:val="en-US" w:eastAsia="zh-CN"/>
        </w:rPr>
        <w:t>. (D)</w:t>
      </w:r>
      <w:r>
        <w:rPr>
          <w:rFonts w:hint="default" w:ascii="Times New Roman" w:hAnsi="Times New Roman" w:cs="Times New Roman"/>
          <w:b w:val="0"/>
          <w:bCs w:val="0"/>
          <w:color w:val="auto"/>
          <w:sz w:val="24"/>
          <w:szCs w:val="24"/>
          <w:lang w:val="en-US" w:eastAsia="zh-CN"/>
        </w:rPr>
        <w:t>Forest plot of prognostic genes (univariate COX analysis results).</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drawing>
          <wp:inline distT="0" distB="0" distL="114300" distR="114300">
            <wp:extent cx="5400040" cy="8672830"/>
            <wp:effectExtent l="0" t="0" r="10160" b="13970"/>
            <wp:docPr id="4" name="图片 4" descr="Supplementary Fig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upplementary Figure 4"/>
                    <pic:cNvPicPr>
                      <a:picLocks noChangeAspect="1"/>
                    </pic:cNvPicPr>
                  </pic:nvPicPr>
                  <pic:blipFill>
                    <a:blip r:embed="rId7"/>
                    <a:stretch>
                      <a:fillRect/>
                    </a:stretch>
                  </pic:blipFill>
                  <pic:spPr>
                    <a:xfrm>
                      <a:off x="0" y="0"/>
                      <a:ext cx="5400040" cy="86728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bCs/>
          <w:color w:val="auto"/>
          <w:sz w:val="24"/>
          <w:szCs w:val="24"/>
          <w:lang w:val="en-US" w:eastAsia="zh-CN"/>
        </w:rPr>
        <w:t>Supplementary Fig 4. Somatic mutation and copy number variation analysis results of different hypoxia-risk score groups.</w:t>
      </w:r>
      <w:r>
        <w:rPr>
          <w:rFonts w:hint="eastAsia" w:ascii="Times New Roman" w:hAnsi="Times New Roman" w:cs="Times New Roman"/>
          <w:b w:val="0"/>
          <w:bCs w:val="0"/>
          <w:color w:val="auto"/>
          <w:sz w:val="24"/>
          <w:szCs w:val="24"/>
          <w:lang w:val="en-US" w:eastAsia="zh-CN"/>
        </w:rPr>
        <w:t xml:space="preserve"> (A) </w:t>
      </w:r>
      <w:r>
        <w:rPr>
          <w:rFonts w:hint="default" w:ascii="Times New Roman" w:hAnsi="Times New Roman" w:cs="Times New Roman"/>
          <w:b w:val="0"/>
          <w:bCs w:val="0"/>
          <w:color w:val="auto"/>
          <w:sz w:val="24"/>
          <w:szCs w:val="24"/>
          <w:lang w:val="en-US" w:eastAsia="zh-CN"/>
        </w:rPr>
        <w:t>Results of somatic mutation analysis in the low hypoxia-risk score group in the TCGA-LUNG cohort</w:t>
      </w:r>
      <w:r>
        <w:rPr>
          <w:rFonts w:hint="eastAsia" w:ascii="Times New Roman" w:hAnsi="Times New Roman" w:cs="Times New Roman"/>
          <w:b w:val="0"/>
          <w:bCs w:val="0"/>
          <w:color w:val="auto"/>
          <w:sz w:val="24"/>
          <w:szCs w:val="24"/>
          <w:lang w:val="en-US" w:eastAsia="zh-CN"/>
        </w:rPr>
        <w:t xml:space="preserve">. (B) </w:t>
      </w:r>
      <w:r>
        <w:rPr>
          <w:rFonts w:hint="default" w:ascii="Times New Roman" w:hAnsi="Times New Roman" w:cs="Times New Roman"/>
          <w:b w:val="0"/>
          <w:bCs w:val="0"/>
          <w:color w:val="auto"/>
          <w:sz w:val="24"/>
          <w:szCs w:val="24"/>
          <w:lang w:val="en-US" w:eastAsia="zh-CN"/>
        </w:rPr>
        <w:t xml:space="preserve">Results of somatic mutation analysis in the </w:t>
      </w:r>
      <w:r>
        <w:rPr>
          <w:rFonts w:hint="eastAsia" w:ascii="Times New Roman" w:hAnsi="Times New Roman" w:cs="Times New Roman"/>
          <w:b w:val="0"/>
          <w:bCs w:val="0"/>
          <w:color w:val="auto"/>
          <w:sz w:val="24"/>
          <w:szCs w:val="24"/>
          <w:lang w:val="en-US" w:eastAsia="zh-CN"/>
        </w:rPr>
        <w:t>high</w:t>
      </w:r>
      <w:r>
        <w:rPr>
          <w:rFonts w:hint="default" w:ascii="Times New Roman" w:hAnsi="Times New Roman" w:cs="Times New Roman"/>
          <w:b w:val="0"/>
          <w:bCs w:val="0"/>
          <w:color w:val="auto"/>
          <w:sz w:val="24"/>
          <w:szCs w:val="24"/>
          <w:lang w:val="en-US" w:eastAsia="zh-CN"/>
        </w:rPr>
        <w:t xml:space="preserve"> hypoxia-risk score group in the TCGA-LUNG cohort</w:t>
      </w:r>
      <w:r>
        <w:rPr>
          <w:rFonts w:hint="eastAsia" w:ascii="Times New Roman" w:hAnsi="Times New Roman" w:cs="Times New Roman"/>
          <w:b w:val="0"/>
          <w:bCs w:val="0"/>
          <w:color w:val="auto"/>
          <w:sz w:val="24"/>
          <w:szCs w:val="24"/>
          <w:lang w:val="en-US" w:eastAsia="zh-CN"/>
        </w:rPr>
        <w:t xml:space="preserve">. (C) Copy number variation analysis results of the low hypoxia-risk score group; The abscissa axis represents chromosomal loci; the ordinate axis represents G-score; Different colors represent different CNV types. (D) Copy number variation analysis results of the high hypoxia-risk score group; The abscissa axis represents chromosomal loci; the ordinate axis represents G-score; Different colors represent different CNV types. (E) </w:t>
      </w:r>
      <w:r>
        <w:rPr>
          <w:rFonts w:hint="default" w:ascii="Times New Roman" w:hAnsi="Times New Roman" w:cs="Times New Roman"/>
          <w:b w:val="0"/>
          <w:bCs w:val="0"/>
          <w:color w:val="auto"/>
          <w:sz w:val="24"/>
          <w:szCs w:val="24"/>
          <w:lang w:val="en-US" w:eastAsia="zh-CN"/>
        </w:rPr>
        <w:t>Comparison of the frequency of CNV in different hypoxia-risk score groups</w:t>
      </w:r>
      <w:r>
        <w:rPr>
          <w:rFonts w:hint="eastAsia" w:ascii="Times New Roman" w:hAnsi="Times New Roman" w:cs="Times New Roman"/>
          <w:b w:val="0"/>
          <w:bCs w:val="0"/>
          <w:color w:val="auto"/>
          <w:sz w:val="24"/>
          <w:szCs w:val="24"/>
          <w:lang w:val="en-US" w:eastAsia="zh-CN"/>
        </w:rPr>
        <w:t>; The abscissa axis represents different groups, and the ordinate axis represents the G-score value corresponding to the GNV. Different colors represent different mutation types; The left column represents the names of the mutated genes; the right column value represents the probability of mutation.</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drawing>
          <wp:inline distT="0" distB="0" distL="114300" distR="114300">
            <wp:extent cx="5400040" cy="3170555"/>
            <wp:effectExtent l="0" t="0" r="10160" b="14605"/>
            <wp:docPr id="5" name="图片 5" descr="Supplementary Fig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upplementary Figure 5"/>
                    <pic:cNvPicPr>
                      <a:picLocks noChangeAspect="1"/>
                    </pic:cNvPicPr>
                  </pic:nvPicPr>
                  <pic:blipFill>
                    <a:blip r:embed="rId8"/>
                    <a:stretch>
                      <a:fillRect/>
                    </a:stretch>
                  </pic:blipFill>
                  <pic:spPr>
                    <a:xfrm>
                      <a:off x="0" y="0"/>
                      <a:ext cx="5400040" cy="317055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bCs/>
          <w:color w:val="auto"/>
          <w:sz w:val="24"/>
          <w:szCs w:val="24"/>
          <w:lang w:val="en-US" w:eastAsia="zh-CN"/>
        </w:rPr>
        <w:t xml:space="preserve">Supplementary Fig 5. Analysis of the efficacy of chemotherapy as well as chemotherapy resistance in different hypoxia-risk score groups. </w:t>
      </w:r>
      <w:r>
        <w:rPr>
          <w:rFonts w:hint="eastAsia" w:ascii="Times New Roman" w:hAnsi="Times New Roman" w:cs="Times New Roman"/>
          <w:b w:val="0"/>
          <w:bCs w:val="0"/>
          <w:color w:val="auto"/>
          <w:sz w:val="24"/>
          <w:szCs w:val="24"/>
          <w:lang w:val="en-US" w:eastAsia="zh-CN"/>
        </w:rPr>
        <w:t xml:space="preserve">(A) </w:t>
      </w:r>
      <w:r>
        <w:rPr>
          <w:rFonts w:hint="default" w:ascii="Times New Roman" w:hAnsi="Times New Roman" w:cs="Times New Roman"/>
          <w:b w:val="0"/>
          <w:bCs w:val="0"/>
          <w:color w:val="auto"/>
          <w:sz w:val="24"/>
          <w:szCs w:val="24"/>
          <w:lang w:val="en-US" w:eastAsia="zh-CN"/>
        </w:rPr>
        <w:t>Comparison of chemotherapy efficacy among different hypoxia-risk score groups</w:t>
      </w:r>
      <w:r>
        <w:rPr>
          <w:rFonts w:hint="eastAsia" w:ascii="Times New Roman" w:hAnsi="Times New Roman" w:cs="Times New Roman"/>
          <w:b w:val="0"/>
          <w:bCs w:val="0"/>
          <w:color w:val="auto"/>
          <w:sz w:val="24"/>
          <w:szCs w:val="24"/>
          <w:lang w:val="en-US" w:eastAsia="zh-CN"/>
        </w:rPr>
        <w:t xml:space="preserve"> in the TCGA-LUNG cohort. The horizontal axis represents different hypoxia-risk scores; The vertical axis represents relative percent; Different colors represent different treatment evaluation results. (B) </w:t>
      </w:r>
      <w:r>
        <w:rPr>
          <w:rFonts w:hint="default" w:ascii="Times New Roman" w:hAnsi="Times New Roman" w:cs="Times New Roman"/>
          <w:b w:val="0"/>
          <w:bCs w:val="0"/>
          <w:color w:val="auto"/>
          <w:sz w:val="24"/>
          <w:szCs w:val="24"/>
          <w:lang w:val="en-US" w:eastAsia="zh-CN"/>
        </w:rPr>
        <w:t xml:space="preserve">Comparison of hypoxia-risk scores corresponding to different chemotherapy </w:t>
      </w:r>
      <w:r>
        <w:rPr>
          <w:rFonts w:hint="eastAsia" w:ascii="Times New Roman" w:hAnsi="Times New Roman" w:cs="Times New Roman"/>
          <w:b w:val="0"/>
          <w:bCs w:val="0"/>
          <w:color w:val="auto"/>
          <w:sz w:val="24"/>
          <w:szCs w:val="24"/>
          <w:lang w:val="en-US" w:eastAsia="zh-CN"/>
        </w:rPr>
        <w:t>response</w:t>
      </w:r>
      <w:r>
        <w:rPr>
          <w:rFonts w:hint="default" w:ascii="Times New Roman" w:hAnsi="Times New Roman" w:cs="Times New Roman"/>
          <w:b w:val="0"/>
          <w:bCs w:val="0"/>
          <w:color w:val="auto"/>
          <w:sz w:val="24"/>
          <w:szCs w:val="24"/>
          <w:lang w:val="en-US" w:eastAsia="zh-CN"/>
        </w:rPr>
        <w:t xml:space="preserve"> groups</w:t>
      </w:r>
      <w:r>
        <w:rPr>
          <w:rFonts w:hint="eastAsia" w:ascii="Times New Roman" w:hAnsi="Times New Roman" w:cs="Times New Roman"/>
          <w:b w:val="0"/>
          <w:bCs w:val="0"/>
          <w:color w:val="auto"/>
          <w:sz w:val="24"/>
          <w:szCs w:val="24"/>
          <w:lang w:val="en-US" w:eastAsia="zh-CN"/>
        </w:rPr>
        <w:t xml:space="preserve"> in the TCGA-LUNG cohort; The horizontal axis represents different treatment response groups; the vertical axis represents hypoxia-risk score. (C) </w:t>
      </w:r>
      <w:r>
        <w:rPr>
          <w:rFonts w:hint="default" w:ascii="Times New Roman" w:hAnsi="Times New Roman" w:cs="Times New Roman"/>
          <w:b w:val="0"/>
          <w:bCs w:val="0"/>
          <w:color w:val="auto"/>
          <w:sz w:val="24"/>
          <w:szCs w:val="24"/>
          <w:lang w:val="en-US" w:eastAsia="zh-CN"/>
        </w:rPr>
        <w:t>ROC curve of hypoxia-risk score predicting chemotherapy efficacy</w:t>
      </w:r>
      <w:r>
        <w:rPr>
          <w:rFonts w:hint="eastAsia" w:ascii="Times New Roman" w:hAnsi="Times New Roman" w:cs="Times New Roman"/>
          <w:b w:val="0"/>
          <w:bCs w:val="0"/>
          <w:color w:val="auto"/>
          <w:sz w:val="24"/>
          <w:szCs w:val="24"/>
          <w:lang w:val="en-US" w:eastAsia="zh-CN"/>
        </w:rPr>
        <w:t xml:space="preserve"> in the TCGA-LUNG cohort; The abscissa axis represents the specificity of the curve; the ordinate axis represents the sensitivity of the curve. (D) Cisplatin IC50 values of different hypoxia-risk score groups in the TCGA-LUNG cohort. (E) </w:t>
      </w:r>
      <w:r>
        <w:rPr>
          <w:rFonts w:hint="default" w:ascii="Times New Roman" w:hAnsi="Times New Roman" w:cs="Times New Roman"/>
          <w:b w:val="0"/>
          <w:bCs w:val="0"/>
          <w:color w:val="auto"/>
          <w:sz w:val="24"/>
          <w:szCs w:val="24"/>
          <w:lang w:val="en-US" w:eastAsia="zh-CN"/>
        </w:rPr>
        <w:t>Docetaxel IC50</w:t>
      </w:r>
      <w:r>
        <w:rPr>
          <w:rFonts w:hint="eastAsia" w:ascii="Times New Roman" w:hAnsi="Times New Roman" w:cs="Times New Roman"/>
          <w:b w:val="0"/>
          <w:bCs w:val="0"/>
          <w:color w:val="auto"/>
          <w:sz w:val="24"/>
          <w:szCs w:val="24"/>
          <w:lang w:val="en-US" w:eastAsia="zh-CN"/>
        </w:rPr>
        <w:t xml:space="preserve"> values of different hypoxia-risk score groups in the TCGA-LUNG cohort. (F) </w:t>
      </w:r>
      <w:r>
        <w:rPr>
          <w:rFonts w:hint="default" w:ascii="Times New Roman" w:hAnsi="Times New Roman" w:cs="Times New Roman"/>
          <w:b w:val="0"/>
          <w:bCs w:val="0"/>
          <w:color w:val="auto"/>
          <w:sz w:val="24"/>
          <w:szCs w:val="24"/>
          <w:lang w:val="en-US" w:eastAsia="zh-CN"/>
        </w:rPr>
        <w:t>Gemcitabine IC50</w:t>
      </w:r>
      <w:r>
        <w:rPr>
          <w:rFonts w:hint="eastAsia" w:ascii="Times New Roman" w:hAnsi="Times New Roman" w:cs="Times New Roman"/>
          <w:b w:val="0"/>
          <w:bCs w:val="0"/>
          <w:color w:val="auto"/>
          <w:sz w:val="24"/>
          <w:szCs w:val="24"/>
          <w:lang w:val="en-US" w:eastAsia="zh-CN"/>
        </w:rPr>
        <w:t xml:space="preserve"> values of different hypoxia-risk score groups in the TCGA-LUNG cohort. (G) </w:t>
      </w:r>
      <w:r>
        <w:rPr>
          <w:rFonts w:hint="default" w:ascii="Times New Roman" w:hAnsi="Times New Roman" w:cs="Times New Roman"/>
          <w:b w:val="0"/>
          <w:bCs w:val="0"/>
          <w:color w:val="auto"/>
          <w:sz w:val="24"/>
          <w:szCs w:val="24"/>
          <w:lang w:val="en-US" w:eastAsia="zh-CN"/>
        </w:rPr>
        <w:t>Paclitaxel IC50</w:t>
      </w:r>
      <w:r>
        <w:rPr>
          <w:rFonts w:hint="eastAsia" w:ascii="Times New Roman" w:hAnsi="Times New Roman" w:cs="Times New Roman"/>
          <w:b w:val="0"/>
          <w:bCs w:val="0"/>
          <w:color w:val="auto"/>
          <w:sz w:val="24"/>
          <w:szCs w:val="24"/>
          <w:lang w:val="en-US" w:eastAsia="zh-CN"/>
        </w:rPr>
        <w:t xml:space="preserve"> values of different hypoxia-risk score groups in the TCGA-LUNG cohort. The abscissa axis represents different hypoxia-risk score groups; the ordinate axis represents IC50 values.</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drawing>
          <wp:inline distT="0" distB="0" distL="114300" distR="114300">
            <wp:extent cx="5400040" cy="8348980"/>
            <wp:effectExtent l="0" t="0" r="10160" b="2540"/>
            <wp:docPr id="7" name="图片 7" descr="Supplementary Fig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upplementary Figure 6"/>
                    <pic:cNvPicPr>
                      <a:picLocks noChangeAspect="1"/>
                    </pic:cNvPicPr>
                  </pic:nvPicPr>
                  <pic:blipFill>
                    <a:blip r:embed="rId9"/>
                    <a:stretch>
                      <a:fillRect/>
                    </a:stretch>
                  </pic:blipFill>
                  <pic:spPr>
                    <a:xfrm>
                      <a:off x="0" y="0"/>
                      <a:ext cx="5400040" cy="834898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b/>
          <w:bCs/>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b w:val="0"/>
          <w:bCs w:val="0"/>
          <w:color w:val="auto"/>
          <w:sz w:val="24"/>
          <w:szCs w:val="24"/>
          <w:lang w:val="en-US" w:eastAsia="zh-CN"/>
        </w:rPr>
      </w:pPr>
      <w:bookmarkStart w:id="0" w:name="_GoBack"/>
      <w:bookmarkEnd w:id="0"/>
      <w:r>
        <w:rPr>
          <w:rFonts w:hint="eastAsia" w:ascii="Times New Roman" w:hAnsi="Times New Roman" w:cs="Times New Roman"/>
          <w:b/>
          <w:bCs/>
          <w:color w:val="auto"/>
          <w:sz w:val="24"/>
          <w:szCs w:val="24"/>
          <w:lang w:val="en-US" w:eastAsia="zh-CN"/>
        </w:rPr>
        <w:t>Supplementary Fig 6.</w:t>
      </w:r>
      <w:r>
        <w:rPr>
          <w:rFonts w:hint="default" w:ascii="Times New Roman" w:hAnsi="Times New Roman" w:cs="Times New Roman"/>
          <w:b/>
          <w:bCs/>
          <w:color w:val="auto"/>
          <w:sz w:val="24"/>
          <w:szCs w:val="24"/>
          <w:lang w:val="en-US" w:eastAsia="zh-CN"/>
        </w:rPr>
        <w:t xml:space="preserve"> Independent predicting power of hypoxia-risk score and construction of a nomogram for the correlation of clinical information, hypoxia-risk score and PFS</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lang w:val="en-US" w:eastAsia="zh-CN"/>
        </w:rPr>
        <w:t>in the TCGA-LUNG cohort.</w:t>
      </w:r>
      <w:r>
        <w:rPr>
          <w:rFonts w:hint="eastAsia" w:ascii="Times New Roman" w:hAnsi="Times New Roman" w:cs="Times New Roman"/>
          <w:b w:val="0"/>
          <w:bCs w:val="0"/>
          <w:color w:val="auto"/>
          <w:sz w:val="24"/>
          <w:szCs w:val="24"/>
          <w:lang w:val="en-US" w:eastAsia="zh-CN"/>
        </w:rPr>
        <w:t xml:space="preserve"> (A) </w:t>
      </w:r>
      <w:r>
        <w:rPr>
          <w:rFonts w:hint="default" w:ascii="Times New Roman" w:hAnsi="Times New Roman" w:cs="Times New Roman"/>
          <w:b w:val="0"/>
          <w:bCs w:val="0"/>
          <w:color w:val="auto"/>
          <w:sz w:val="24"/>
          <w:szCs w:val="24"/>
          <w:lang w:val="en-US" w:eastAsia="zh-CN"/>
        </w:rPr>
        <w:t>Univariate cox analysis of the correlation between hypoxia-risk score, clinical characteristics and PFS</w:t>
      </w:r>
      <w:r>
        <w:rPr>
          <w:rFonts w:hint="eastAsia" w:ascii="Times New Roman" w:hAnsi="Times New Roman" w:cs="Times New Roman"/>
          <w:b w:val="0"/>
          <w:bCs w:val="0"/>
          <w:color w:val="auto"/>
          <w:sz w:val="24"/>
          <w:szCs w:val="24"/>
          <w:lang w:val="en-US" w:eastAsia="zh-CN"/>
        </w:rPr>
        <w:t xml:space="preserve">. (B) </w:t>
      </w:r>
      <w:r>
        <w:rPr>
          <w:rFonts w:hint="default" w:ascii="Times New Roman" w:hAnsi="Times New Roman" w:cs="Times New Roman"/>
          <w:b w:val="0"/>
          <w:bCs w:val="0"/>
          <w:color w:val="auto"/>
          <w:sz w:val="24"/>
          <w:szCs w:val="24"/>
          <w:lang w:val="en-US" w:eastAsia="zh-CN"/>
        </w:rPr>
        <w:t>Multivariate cox analysis of the correlation between hypoxia-risk score, clinical characteristics and PFS in TCGA-LUNG cohort</w:t>
      </w:r>
      <w:r>
        <w:rPr>
          <w:rFonts w:hint="eastAsia" w:ascii="Times New Roman" w:hAnsi="Times New Roman" w:cs="Times New Roman"/>
          <w:b w:val="0"/>
          <w:bCs w:val="0"/>
          <w:color w:val="auto"/>
          <w:sz w:val="24"/>
          <w:szCs w:val="24"/>
          <w:lang w:val="en-US" w:eastAsia="zh-CN"/>
        </w:rPr>
        <w:t xml:space="preserve">. (C) </w:t>
      </w:r>
      <w:r>
        <w:rPr>
          <w:rFonts w:hint="default" w:ascii="Times New Roman" w:hAnsi="Times New Roman" w:cs="Times New Roman"/>
          <w:b w:val="0"/>
          <w:bCs w:val="0"/>
          <w:color w:val="auto"/>
          <w:sz w:val="24"/>
          <w:szCs w:val="24"/>
          <w:lang w:val="en-US" w:eastAsia="zh-CN"/>
        </w:rPr>
        <w:t>The nomogram for the correlation of clinical information, hypoxia-risk score and PFS</w:t>
      </w:r>
      <w:r>
        <w:rPr>
          <w:rFonts w:hint="eastAsia" w:ascii="Times New Roman" w:hAnsi="Times New Roman" w:cs="Times New Roman"/>
          <w:b w:val="0"/>
          <w:bCs w:val="0"/>
          <w:color w:val="auto"/>
          <w:sz w:val="24"/>
          <w:szCs w:val="24"/>
          <w:lang w:val="en-US" w:eastAsia="zh-CN"/>
        </w:rPr>
        <w:t xml:space="preserve">. (D) </w:t>
      </w:r>
      <w:r>
        <w:rPr>
          <w:rFonts w:hint="default" w:ascii="Times New Roman" w:hAnsi="Times New Roman" w:cs="Times New Roman"/>
          <w:b w:val="0"/>
          <w:bCs w:val="0"/>
          <w:color w:val="auto"/>
          <w:sz w:val="24"/>
          <w:szCs w:val="24"/>
          <w:lang w:val="en-US" w:eastAsia="zh-CN"/>
        </w:rPr>
        <w:t>Calibration plot for nomogram-predicted probability of 1-year PFS; The horizontal axis represents nomogram-predicted probability of 1-year PFS; the vertical axis represents actual 1-year PFS (proportion).</w:t>
      </w:r>
      <w:r>
        <w:rPr>
          <w:rFonts w:hint="eastAsia" w:ascii="Times New Roman" w:hAnsi="Times New Roman" w:cs="Times New Roman"/>
          <w:b w:val="0"/>
          <w:bCs w:val="0"/>
          <w:color w:val="auto"/>
          <w:sz w:val="24"/>
          <w:szCs w:val="24"/>
          <w:lang w:val="en-US" w:eastAsia="zh-CN"/>
        </w:rPr>
        <w:t xml:space="preserve"> (E) </w:t>
      </w:r>
      <w:r>
        <w:rPr>
          <w:rFonts w:hint="default" w:ascii="Times New Roman" w:hAnsi="Times New Roman" w:cs="Times New Roman"/>
          <w:b w:val="0"/>
          <w:bCs w:val="0"/>
          <w:color w:val="auto"/>
          <w:sz w:val="24"/>
          <w:szCs w:val="24"/>
          <w:lang w:val="en-US" w:eastAsia="zh-CN"/>
        </w:rPr>
        <w:t>Calibration plot for nomogram-predicted probability of 5-year PFS; The horizontal axis represents nomogram-predicted probability of 5-year PFS; the vertical axis represents actual 5-year PFS (proportion).</w:t>
      </w:r>
      <w:r>
        <w:rPr>
          <w:rFonts w:hint="eastAsia" w:ascii="Times New Roman" w:hAnsi="Times New Roman" w:cs="Times New Roman"/>
          <w:b w:val="0"/>
          <w:bCs w:val="0"/>
          <w:color w:val="auto"/>
          <w:sz w:val="24"/>
          <w:szCs w:val="24"/>
          <w:lang w:val="en-US" w:eastAsia="zh-CN"/>
        </w:rPr>
        <w:t xml:space="preserve"> (F) </w:t>
      </w:r>
      <w:r>
        <w:rPr>
          <w:rFonts w:hint="default" w:ascii="Times New Roman" w:hAnsi="Times New Roman" w:cs="Times New Roman"/>
          <w:b w:val="0"/>
          <w:bCs w:val="0"/>
          <w:color w:val="auto"/>
          <w:sz w:val="24"/>
          <w:szCs w:val="24"/>
          <w:lang w:val="en-US" w:eastAsia="zh-CN"/>
        </w:rPr>
        <w:t>Calibration plot for nomogram-predicted probability of 10-year PFS; The horizontal axis represents nomogram-predicted probability of 10-year PFS; the vertical axis represents actual 10-year PFS (proportion).</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Sun"/>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lYWIzODFkYmE1MmY2NDBlZTEzMDllYTQwNmYxMTgifQ=="/>
  </w:docVars>
  <w:rsids>
    <w:rsidRoot w:val="00000000"/>
    <w:rsid w:val="277712AC"/>
    <w:rsid w:val="323C3D49"/>
    <w:rsid w:val="4A6A05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929</Words>
  <Characters>5836</Characters>
  <Lines>0</Lines>
  <Paragraphs>0</Paragraphs>
  <TotalTime>9</TotalTime>
  <ScaleCrop>false</ScaleCrop>
  <LinksUpToDate>false</LinksUpToDate>
  <CharactersWithSpaces>6754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2022-09-08T01:49:00Z</dcterms:created>
  <dc:creator>14243</dc:creator>
  <cp:lastModifiedBy>红涛</cp:lastModifiedBy>
  <dcterms:modified xsi:type="dcterms:W3CDTF">2023-01-06T06:54:55Z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C9E240E8D4A64A368FA2E531F353635C</vt:lpwstr>
  </property>
</Properties>
</file>