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24DE" w:rsidRPr="0012540B" w:rsidRDefault="007724DE" w:rsidP="007724DE">
      <w:pPr>
        <w:spacing w:before="120" w:line="360" w:lineRule="auto"/>
        <w:jc w:val="center"/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E</w:t>
      </w:r>
      <w:r w:rsidRPr="005D587C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ffect of the landscape on functional and spatial connectivity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in </w:t>
      </w:r>
      <w:r w:rsidRPr="0012540B">
        <w:rPr>
          <w:rFonts w:ascii="Times New Roman" w:eastAsia="Times New Roman" w:hAnsi="Times New Roman" w:cs="Times New Roman"/>
          <w:b/>
          <w:bCs/>
          <w:i/>
          <w:iCs/>
          <w:lang w:val="en-US" w:eastAsia="es-ES_tradnl" w:bidi="my-MM"/>
        </w:rPr>
        <w:t>Magnolia cubensis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(</w:t>
      </w:r>
      <w:r w:rsidRPr="00136E0D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Magnoliaceae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in two mountain massifs of 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Cuba</w:t>
      </w:r>
    </w:p>
    <w:p w:rsidR="00540341" w:rsidRPr="003B04F6" w:rsidRDefault="00540341" w:rsidP="00540341">
      <w:pPr>
        <w:spacing w:before="120" w:line="360" w:lineRule="auto"/>
        <w:jc w:val="both"/>
        <w:rPr>
          <w:rFonts w:ascii="Times New Roman" w:hAnsi="Times New Roman" w:cs="Times New Roman"/>
          <w:lang w:val="en-US"/>
        </w:rPr>
      </w:pPr>
      <w:r w:rsidRPr="003B04F6">
        <w:rPr>
          <w:rFonts w:ascii="Times New Roman" w:hAnsi="Times New Roman" w:cs="Times New Roman"/>
          <w:lang w:val="en-US"/>
        </w:rPr>
        <w:t>Majela Hernández Rodríguez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>, Ernesto Testé</w:t>
      </w:r>
      <w:r w:rsidRPr="003B04F6">
        <w:rPr>
          <w:rFonts w:ascii="Times New Roman" w:hAnsi="Times New Roman" w:cs="Times New Roman"/>
          <w:vertAlign w:val="superscript"/>
          <w:lang w:val="en-US"/>
        </w:rPr>
        <w:t>b,c</w:t>
      </w:r>
      <w:r w:rsidRPr="003B04F6">
        <w:rPr>
          <w:rFonts w:ascii="Times New Roman" w:hAnsi="Times New Roman" w:cs="Times New Roman"/>
          <w:lang w:val="en-US"/>
        </w:rPr>
        <w:t>, Emily Veltjen</w:t>
      </w:r>
      <w:r w:rsidRPr="003B04F6">
        <w:rPr>
          <w:rFonts w:ascii="Times New Roman" w:hAnsi="Times New Roman" w:cs="Times New Roman"/>
          <w:vertAlign w:val="superscript"/>
          <w:lang w:val="en-US"/>
        </w:rPr>
        <w:t>d,e</w:t>
      </w:r>
      <w:r w:rsidRPr="003B04F6">
        <w:rPr>
          <w:rFonts w:ascii="Times New Roman" w:hAnsi="Times New Roman" w:cs="Times New Roman"/>
          <w:lang w:val="en-US"/>
        </w:rPr>
        <w:t>, Jhonny Quintana Delgado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 xml:space="preserve">, </w:t>
      </w:r>
      <w:r w:rsidRPr="0083704C">
        <w:rPr>
          <w:rFonts w:ascii="Times New Roman" w:hAnsi="Times New Roman" w:cs="Times New Roman"/>
          <w:lang w:val="en-US"/>
        </w:rPr>
        <w:t>Alejandro Palmarola Bejerano</w:t>
      </w:r>
      <w:r w:rsidRPr="0083704C">
        <w:rPr>
          <w:rFonts w:ascii="Times New Roman" w:hAnsi="Times New Roman" w:cs="Times New Roman"/>
          <w:vertAlign w:val="superscript"/>
          <w:lang w:val="en-US"/>
        </w:rPr>
        <w:t>b</w:t>
      </w:r>
      <w:r w:rsidRPr="003B04F6">
        <w:rPr>
          <w:rFonts w:ascii="Times New Roman" w:hAnsi="Times New Roman" w:cs="Times New Roman"/>
          <w:lang w:val="en-US"/>
        </w:rPr>
        <w:t>, Marlyn Valdés de la Cruz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>, Pieter Asselman</w:t>
      </w:r>
      <w:r w:rsidRPr="003B04F6">
        <w:rPr>
          <w:rFonts w:ascii="Times New Roman" w:hAnsi="Times New Roman" w:cs="Times New Roman"/>
          <w:vertAlign w:val="superscript"/>
          <w:lang w:val="en-US"/>
        </w:rPr>
        <w:t>d</w:t>
      </w:r>
      <w:r w:rsidRPr="003B04F6">
        <w:rPr>
          <w:rFonts w:ascii="Times New Roman" w:hAnsi="Times New Roman" w:cs="Times New Roman"/>
          <w:lang w:val="en-US"/>
        </w:rPr>
        <w:t>, Isabel Larridon</w:t>
      </w:r>
      <w:r w:rsidRPr="003B04F6">
        <w:rPr>
          <w:rFonts w:ascii="Times New Roman" w:hAnsi="Times New Roman" w:cs="Times New Roman"/>
          <w:vertAlign w:val="superscript"/>
          <w:lang w:val="en-US"/>
        </w:rPr>
        <w:t>d,f</w:t>
      </w:r>
      <w:r w:rsidRPr="003B04F6">
        <w:rPr>
          <w:rFonts w:ascii="Times New Roman" w:hAnsi="Times New Roman" w:cs="Times New Roman"/>
          <w:lang w:val="en-US"/>
        </w:rPr>
        <w:t>, Marie-Stéphanie Samain</w:t>
      </w:r>
      <w:r w:rsidRPr="003B04F6">
        <w:rPr>
          <w:rFonts w:ascii="Times New Roman" w:hAnsi="Times New Roman" w:cs="Times New Roman"/>
          <w:vertAlign w:val="superscript"/>
          <w:lang w:val="en-US"/>
        </w:rPr>
        <w:t>d,g</w:t>
      </w:r>
      <w:r w:rsidRPr="003B04F6">
        <w:rPr>
          <w:rFonts w:ascii="Times New Roman" w:hAnsi="Times New Roman" w:cs="Times New Roman"/>
          <w:lang w:val="en-US"/>
        </w:rPr>
        <w:t xml:space="preserve"> and Luis Roberto González Torres</w:t>
      </w:r>
      <w:r w:rsidRPr="003B04F6">
        <w:rPr>
          <w:rFonts w:ascii="Times New Roman" w:hAnsi="Times New Roman" w:cs="Times New Roman"/>
          <w:vertAlign w:val="superscript"/>
          <w:lang w:val="en-US"/>
        </w:rPr>
        <w:t>h,i</w:t>
      </w:r>
      <w:r w:rsidRPr="003B04F6">
        <w:rPr>
          <w:rFonts w:ascii="Times New Roman" w:hAnsi="Times New Roman" w:cs="Times New Roman"/>
          <w:lang w:val="en-US"/>
        </w:rPr>
        <w:t xml:space="preserve"> </w:t>
      </w:r>
    </w:p>
    <w:p w:rsidR="00540341" w:rsidRPr="0012540B" w:rsidRDefault="00540341" w:rsidP="00540341">
      <w:pPr>
        <w:jc w:val="both"/>
        <w:rPr>
          <w:rFonts w:ascii="Times New Roman" w:hAnsi="Times New Roman" w:cs="Times New Roman"/>
          <w:i/>
        </w:rPr>
      </w:pPr>
      <w:r w:rsidRPr="0012540B">
        <w:rPr>
          <w:rFonts w:ascii="Times New Roman" w:hAnsi="Times New Roman" w:cs="Times New Roman"/>
          <w:vertAlign w:val="superscript"/>
        </w:rPr>
        <w:t xml:space="preserve">a </w:t>
      </w:r>
      <w:r w:rsidRPr="0012540B">
        <w:rPr>
          <w:rFonts w:ascii="Times New Roman" w:hAnsi="Times New Roman" w:cs="Times New Roman"/>
          <w:i/>
        </w:rPr>
        <w:t xml:space="preserve">Universidad de La Habana, Facultad de Biología, Departamento de Biología Vegetal, C/ 25 e/ I y J, Vedado, La Habana, Cuba. </w:t>
      </w:r>
    </w:p>
    <w:p w:rsidR="00540341" w:rsidRPr="0012540B" w:rsidRDefault="00540341" w:rsidP="00540341">
      <w:pPr>
        <w:jc w:val="both"/>
        <w:rPr>
          <w:rFonts w:ascii="Times New Roman" w:hAnsi="Times New Roman" w:cs="Times New Roman"/>
          <w:i/>
          <w:vertAlign w:val="superscript"/>
        </w:rPr>
      </w:pPr>
      <w:r w:rsidRPr="0012540B">
        <w:rPr>
          <w:rFonts w:ascii="Times New Roman" w:hAnsi="Times New Roman" w:cs="Times New Roman"/>
          <w:vertAlign w:val="superscript"/>
        </w:rPr>
        <w:t xml:space="preserve">b </w:t>
      </w:r>
      <w:r w:rsidRPr="0012540B">
        <w:rPr>
          <w:rFonts w:ascii="Times New Roman" w:hAnsi="Times New Roman" w:cs="Times New Roman"/>
          <w:i/>
        </w:rPr>
        <w:t>Universidad de La Habana, Jardín Botánico Nacional, Carretera “El Rocío” km 3 ½, Boyeros, La Habana, Cuba.</w:t>
      </w:r>
      <w:r w:rsidRPr="0012540B">
        <w:rPr>
          <w:rFonts w:ascii="Times New Roman" w:hAnsi="Times New Roman" w:cs="Times New Roman"/>
          <w:i/>
          <w:vertAlign w:val="superscript"/>
        </w:rPr>
        <w:t xml:space="preserve"> </w:t>
      </w:r>
    </w:p>
    <w:p w:rsidR="00540341" w:rsidRPr="00C00C99" w:rsidRDefault="00540341" w:rsidP="00540341">
      <w:pPr>
        <w:jc w:val="both"/>
        <w:rPr>
          <w:rFonts w:ascii="Times New Roman" w:hAnsi="Times New Roman" w:cs="Times New Roman"/>
          <w:lang w:val="en-US"/>
        </w:rPr>
      </w:pPr>
      <w:r w:rsidRPr="00926D8D">
        <w:rPr>
          <w:rFonts w:ascii="Times New Roman" w:hAnsi="Times New Roman" w:cs="Times New Roman"/>
          <w:vertAlign w:val="superscript"/>
          <w:lang w:val="en-US"/>
        </w:rPr>
        <w:t xml:space="preserve">c </w:t>
      </w:r>
      <w:r w:rsidRPr="00926D8D">
        <w:rPr>
          <w:rFonts w:ascii="Times New Roman" w:hAnsi="Times New Roman" w:cs="Times New Roman"/>
          <w:i/>
          <w:lang w:val="en-US"/>
        </w:rPr>
        <w:t>Université Paris-Saclay, Ecologie Systématique et Evolution, 362 Rue du Doyen André Guinier, 91405 Orsay, France</w:t>
      </w:r>
    </w:p>
    <w:p w:rsidR="00540341" w:rsidRPr="00C00C99" w:rsidRDefault="00540341" w:rsidP="00540341">
      <w:pPr>
        <w:jc w:val="both"/>
        <w:rPr>
          <w:rFonts w:ascii="Times New Roman" w:hAnsi="Times New Roman" w:cs="Times New Roman"/>
          <w:vertAlign w:val="superscript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 xml:space="preserve">d </w:t>
      </w:r>
      <w:r w:rsidRPr="0012540B">
        <w:rPr>
          <w:rFonts w:ascii="Times New Roman" w:hAnsi="Times New Roman" w:cs="Times New Roman"/>
          <w:i/>
          <w:lang w:val="en-US"/>
        </w:rPr>
        <w:t>Ghent University, Department of Biology, Systematic and Evolutionary Botany Lab, K.L. Ledeganckstraat 35, 9000 Gent, Belgium.</w:t>
      </w:r>
    </w:p>
    <w:p w:rsidR="00540341" w:rsidRPr="0012540B" w:rsidRDefault="00540341" w:rsidP="00540341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e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Ghent University Botanical Garden, K.L. Ledeganckstraat 35, 9000 Gent, Belgium.</w:t>
      </w:r>
    </w:p>
    <w:p w:rsidR="00540341" w:rsidRPr="0012540B" w:rsidRDefault="00540341" w:rsidP="00540341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f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Royal Botanic Gardens, Kew, Richmond, Surrey, TW9 3AE, U</w:t>
      </w:r>
      <w:r>
        <w:rPr>
          <w:rFonts w:ascii="Times New Roman" w:hAnsi="Times New Roman" w:cs="Times New Roman"/>
          <w:i/>
          <w:lang w:val="en-US"/>
        </w:rPr>
        <w:t xml:space="preserve">nited </w:t>
      </w:r>
      <w:r w:rsidRPr="0012540B">
        <w:rPr>
          <w:rFonts w:ascii="Times New Roman" w:hAnsi="Times New Roman" w:cs="Times New Roman"/>
          <w:i/>
          <w:lang w:val="en-US"/>
        </w:rPr>
        <w:t>K</w:t>
      </w:r>
      <w:r>
        <w:rPr>
          <w:rFonts w:ascii="Times New Roman" w:hAnsi="Times New Roman" w:cs="Times New Roman"/>
          <w:i/>
          <w:lang w:val="en-US"/>
        </w:rPr>
        <w:t>ingdom</w:t>
      </w:r>
      <w:r w:rsidRPr="0012540B">
        <w:rPr>
          <w:rFonts w:ascii="Times New Roman" w:hAnsi="Times New Roman" w:cs="Times New Roman"/>
          <w:i/>
          <w:lang w:val="en-US"/>
        </w:rPr>
        <w:t>.</w:t>
      </w:r>
    </w:p>
    <w:p w:rsidR="00540341" w:rsidRPr="00405C0D" w:rsidRDefault="00540341" w:rsidP="00540341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vertAlign w:val="superscript"/>
        </w:rPr>
        <w:t>g</w:t>
      </w:r>
      <w:r w:rsidRPr="0012540B">
        <w:rPr>
          <w:rFonts w:ascii="Times New Roman" w:hAnsi="Times New Roman" w:cs="Times New Roman"/>
          <w:vertAlign w:val="superscript"/>
        </w:rPr>
        <w:t xml:space="preserve"> </w:t>
      </w:r>
      <w:r w:rsidRPr="0012540B">
        <w:rPr>
          <w:rFonts w:ascii="Times New Roman" w:hAnsi="Times New Roman" w:cs="Times New Roman"/>
          <w:i/>
        </w:rPr>
        <w:t xml:space="preserve">Instituto de Ecología, A.C., Centro Regional del Bajío, Red de Diversidad Biológica del Occidente Mexicano, Avenida Lázaro Cárdenas 253, 61600 Pátzcuaro, Michoacán, Mexico. </w:t>
      </w:r>
    </w:p>
    <w:p w:rsidR="00540341" w:rsidRPr="0012540B" w:rsidRDefault="00540341" w:rsidP="00540341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h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The University of British Columbia, 2329 West Mall, Vancouver, BC V6T 1Z4, Canada.</w:t>
      </w:r>
    </w:p>
    <w:p w:rsidR="00540341" w:rsidRPr="00E80A9D" w:rsidRDefault="00540341" w:rsidP="00540341">
      <w:pPr>
        <w:jc w:val="both"/>
        <w:rPr>
          <w:rFonts w:ascii="Times New Roman" w:hAnsi="Times New Roman" w:cs="Times New Roman"/>
          <w:i/>
          <w:lang w:val="en-US"/>
        </w:rPr>
      </w:pPr>
      <w:r w:rsidRPr="00E80A9D">
        <w:rPr>
          <w:rFonts w:ascii="Times New Roman" w:hAnsi="Times New Roman" w:cs="Times New Roman"/>
          <w:i/>
          <w:vertAlign w:val="superscript"/>
          <w:lang w:val="en-US"/>
        </w:rPr>
        <w:t>i</w:t>
      </w:r>
      <w:r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Department of Biology, Douglas College, New Westminster, V3M 5Z5</w:t>
      </w:r>
      <w:r>
        <w:rPr>
          <w:rFonts w:ascii="Times New Roman" w:hAnsi="Times New Roman" w:cs="Times New Roman"/>
          <w:i/>
          <w:lang w:val="en-US"/>
        </w:rPr>
        <w:t>,</w:t>
      </w:r>
      <w:r w:rsidRPr="001847EA"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Canada</w:t>
      </w:r>
      <w:r>
        <w:rPr>
          <w:rFonts w:ascii="Times New Roman" w:hAnsi="Times New Roman" w:cs="Times New Roman"/>
          <w:i/>
          <w:lang w:val="en-US"/>
        </w:rPr>
        <w:t>.</w:t>
      </w:r>
    </w:p>
    <w:p w:rsidR="00540341" w:rsidRPr="007B2852" w:rsidRDefault="00540341" w:rsidP="00540341">
      <w:pPr>
        <w:jc w:val="both"/>
        <w:rPr>
          <w:lang w:val="en-US"/>
        </w:rPr>
      </w:pPr>
      <w:r w:rsidRPr="007B2852">
        <w:rPr>
          <w:rFonts w:ascii="Times New Roman" w:hAnsi="Times New Roman" w:cs="Times New Roman"/>
          <w:b/>
          <w:vertAlign w:val="superscript"/>
          <w:lang w:val="en-US"/>
        </w:rPr>
        <w:t>*</w:t>
      </w:r>
      <w:r w:rsidRPr="007B2852">
        <w:rPr>
          <w:vertAlign w:val="superscript"/>
          <w:lang w:val="en-US"/>
        </w:rPr>
        <w:t xml:space="preserve"> </w:t>
      </w:r>
      <w:r w:rsidRPr="007B2852">
        <w:rPr>
          <w:rStyle w:val="Hipervnculo"/>
          <w:rFonts w:ascii="Times New Roman" w:hAnsi="Times New Roman" w:cs="Times New Roman"/>
          <w:lang w:val="en-US"/>
        </w:rPr>
        <w:t>majela@fbio.uh.c</w:t>
      </w:r>
      <w:r>
        <w:rPr>
          <w:rStyle w:val="Hipervnculo"/>
          <w:rFonts w:ascii="Times New Roman" w:hAnsi="Times New Roman" w:cs="Times New Roman"/>
          <w:lang w:val="en-US"/>
        </w:rPr>
        <w:t>u</w:t>
      </w:r>
    </w:p>
    <w:p w:rsidR="007724DE" w:rsidRDefault="007724DE">
      <w:pPr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bookmarkStart w:id="0" w:name="_GoBack"/>
      <w:bookmarkEnd w:id="0"/>
      <w:r>
        <w:rPr>
          <w:b/>
          <w:bCs/>
          <w:lang w:val="en-US"/>
        </w:rPr>
        <w:br w:type="page"/>
      </w:r>
    </w:p>
    <w:p w:rsidR="00E436D7" w:rsidRPr="005B5D54" w:rsidRDefault="000909D3" w:rsidP="005B5D54">
      <w:pPr>
        <w:pStyle w:val="NormalWeb"/>
        <w:spacing w:line="276" w:lineRule="auto"/>
        <w:jc w:val="both"/>
        <w:rPr>
          <w:sz w:val="22"/>
          <w:szCs w:val="22"/>
          <w:lang w:val="en-US"/>
        </w:rPr>
      </w:pPr>
      <w:r>
        <w:rPr>
          <w:b/>
          <w:bCs/>
          <w:lang w:val="en-US"/>
        </w:rPr>
        <w:lastRenderedPageBreak/>
        <w:t>Supplementary material</w:t>
      </w:r>
      <w:r w:rsidRPr="00240A6E">
        <w:rPr>
          <w:lang w:val="en-US"/>
        </w:rPr>
        <w:t xml:space="preserve"> </w:t>
      </w:r>
      <w:r w:rsidR="00E436D7">
        <w:rPr>
          <w:b/>
          <w:bCs/>
          <w:lang w:val="en-US"/>
        </w:rPr>
        <w:t>2</w:t>
      </w:r>
      <w:r w:rsidR="008D69E1">
        <w:rPr>
          <w:b/>
          <w:bCs/>
          <w:lang w:val="en-US"/>
        </w:rPr>
        <w:t>.</w:t>
      </w:r>
      <w:r w:rsidR="008D69E1" w:rsidRPr="005360C9">
        <w:rPr>
          <w:lang w:val="en-US"/>
        </w:rPr>
        <w:t xml:space="preserve"> </w:t>
      </w:r>
      <w:r w:rsidR="00E436D7" w:rsidRPr="002E2CB1">
        <w:rPr>
          <w:lang w:val="en-US"/>
        </w:rPr>
        <w:t xml:space="preserve">Measures of genetic diversity </w:t>
      </w:r>
      <w:r w:rsidR="00B75E9F">
        <w:rPr>
          <w:lang w:val="en-US"/>
        </w:rPr>
        <w:t>by locus in</w:t>
      </w:r>
      <w:r w:rsidR="00E436D7" w:rsidRPr="002E2CB1">
        <w:rPr>
          <w:lang w:val="en-US"/>
        </w:rPr>
        <w:t xml:space="preserve"> </w:t>
      </w:r>
      <w:r w:rsidR="00E436D7" w:rsidRPr="002E2CB1">
        <w:rPr>
          <w:i/>
          <w:iCs/>
          <w:lang w:val="en-US"/>
        </w:rPr>
        <w:t>Magnolia cubensis</w:t>
      </w:r>
      <w:r w:rsidR="00E436D7">
        <w:rPr>
          <w:i/>
          <w:iCs/>
          <w:lang w:val="en-US"/>
        </w:rPr>
        <w:t xml:space="preserve"> </w:t>
      </w:r>
      <w:r w:rsidR="00E436D7">
        <w:rPr>
          <w:lang w:val="en-US"/>
        </w:rPr>
        <w:t xml:space="preserve">subsp. </w:t>
      </w:r>
      <w:r w:rsidR="00E436D7" w:rsidRPr="00E436D7">
        <w:rPr>
          <w:i/>
          <w:iCs/>
          <w:lang w:val="en-US"/>
        </w:rPr>
        <w:t>acunae</w:t>
      </w:r>
      <w:r w:rsidR="00E436D7">
        <w:rPr>
          <w:i/>
          <w:iCs/>
          <w:lang w:val="en-US"/>
        </w:rPr>
        <w:t xml:space="preserve"> </w:t>
      </w:r>
      <w:r w:rsidR="00E436D7">
        <w:rPr>
          <w:lang w:val="en-US"/>
        </w:rPr>
        <w:t>in two localities of Guamuhaya massif: the Natural Protected Landscape Topes de Collantes (TOP) and the Ecological Reserve Lomas de Banao (BAN)</w:t>
      </w:r>
      <w:r w:rsidR="00E436D7" w:rsidRPr="002E2CB1">
        <w:rPr>
          <w:i/>
          <w:iCs/>
          <w:lang w:val="en-US"/>
        </w:rPr>
        <w:t xml:space="preserve">, </w:t>
      </w:r>
      <w:r w:rsidR="00E436D7" w:rsidRPr="002E2CB1">
        <w:rPr>
          <w:lang w:val="en-US"/>
        </w:rPr>
        <w:t>estimated by simple sequence repeat markers</w:t>
      </w:r>
      <w:r w:rsidR="005B5D54">
        <w:rPr>
          <w:lang w:val="en-US"/>
        </w:rPr>
        <w:t xml:space="preserve">. </w:t>
      </w:r>
      <w:r w:rsidR="005B5D54" w:rsidRPr="0099265B">
        <w:rPr>
          <w:b/>
          <w:bCs/>
          <w:sz w:val="22"/>
          <w:szCs w:val="22"/>
          <w:lang w:val="en-US"/>
        </w:rPr>
        <w:t>A</w:t>
      </w:r>
      <w:r w:rsidR="005B5D54" w:rsidRPr="008B3F50">
        <w:rPr>
          <w:sz w:val="22"/>
          <w:szCs w:val="22"/>
          <w:lang w:val="en-US"/>
        </w:rPr>
        <w:t xml:space="preserve">: average number of alleles per </w:t>
      </w:r>
      <w:r w:rsidR="005B5D54" w:rsidRPr="008B3F50">
        <w:rPr>
          <w:i/>
          <w:iCs/>
          <w:sz w:val="22"/>
          <w:szCs w:val="22"/>
          <w:lang w:val="en-US"/>
        </w:rPr>
        <w:t>locus</w:t>
      </w:r>
      <w:r w:rsidR="005B5D54" w:rsidRPr="008B3F50">
        <w:rPr>
          <w:sz w:val="22"/>
          <w:szCs w:val="22"/>
          <w:lang w:val="en-US"/>
        </w:rPr>
        <w:t>.</w:t>
      </w:r>
      <w:r w:rsidR="005B5D54">
        <w:rPr>
          <w:sz w:val="22"/>
          <w:szCs w:val="22"/>
          <w:lang w:val="en-US"/>
        </w:rPr>
        <w:t xml:space="preserve"> </w:t>
      </w:r>
      <w:r w:rsidR="005B5D54" w:rsidRPr="0099265B">
        <w:rPr>
          <w:b/>
          <w:bCs/>
          <w:sz w:val="22"/>
          <w:szCs w:val="22"/>
          <w:lang w:val="en-US"/>
        </w:rPr>
        <w:t>A</w:t>
      </w:r>
      <w:r w:rsidR="005B5D54">
        <w:rPr>
          <w:b/>
          <w:bCs/>
          <w:sz w:val="22"/>
          <w:szCs w:val="22"/>
          <w:vertAlign w:val="subscript"/>
          <w:lang w:val="en-US"/>
        </w:rPr>
        <w:t>e</w:t>
      </w:r>
      <w:r w:rsidR="005B5D54" w:rsidRPr="008B3F50">
        <w:rPr>
          <w:sz w:val="22"/>
          <w:szCs w:val="22"/>
          <w:lang w:val="en-US"/>
        </w:rPr>
        <w:t xml:space="preserve">: </w:t>
      </w:r>
      <w:r w:rsidR="005B5D54">
        <w:rPr>
          <w:sz w:val="22"/>
          <w:szCs w:val="22"/>
          <w:lang w:val="en-US"/>
        </w:rPr>
        <w:t>effective</w:t>
      </w:r>
      <w:r w:rsidR="005B5D54" w:rsidRPr="008B3F50">
        <w:rPr>
          <w:sz w:val="22"/>
          <w:szCs w:val="22"/>
          <w:lang w:val="en-US"/>
        </w:rPr>
        <w:t xml:space="preserve"> allele</w:t>
      </w:r>
      <w:r w:rsidR="005B5D54">
        <w:rPr>
          <w:sz w:val="22"/>
          <w:szCs w:val="22"/>
          <w:lang w:val="en-US"/>
        </w:rPr>
        <w:t>s</w:t>
      </w:r>
      <w:r w:rsidR="005B5D54" w:rsidRPr="008B3F50">
        <w:rPr>
          <w:sz w:val="22"/>
          <w:szCs w:val="22"/>
          <w:lang w:val="en-US"/>
        </w:rPr>
        <w:t xml:space="preserve">. </w:t>
      </w:r>
      <w:r w:rsidR="005B5D54" w:rsidRPr="008B3F50">
        <w:rPr>
          <w:b/>
          <w:bCs/>
          <w:sz w:val="22"/>
          <w:szCs w:val="22"/>
          <w:lang w:val="en-US"/>
        </w:rPr>
        <w:t>A</w:t>
      </w:r>
      <w:r w:rsidR="005B5D54" w:rsidRPr="008B3F50">
        <w:rPr>
          <w:b/>
          <w:bCs/>
          <w:position w:val="-2"/>
          <w:sz w:val="22"/>
          <w:szCs w:val="22"/>
          <w:vertAlign w:val="subscript"/>
          <w:lang w:val="en-US"/>
        </w:rPr>
        <w:t>R</w:t>
      </w:r>
      <w:r w:rsidR="005B5D54" w:rsidRPr="008B3F50">
        <w:rPr>
          <w:sz w:val="22"/>
          <w:szCs w:val="22"/>
          <w:lang w:val="en-US"/>
        </w:rPr>
        <w:t xml:space="preserve">: allelic richness. </w:t>
      </w:r>
      <w:r w:rsidR="005B5D54" w:rsidRPr="008B3F50">
        <w:rPr>
          <w:b/>
          <w:bCs/>
          <w:sz w:val="22"/>
          <w:szCs w:val="22"/>
          <w:lang w:val="en-US"/>
        </w:rPr>
        <w:t>H</w:t>
      </w:r>
      <w:r w:rsidR="005B5D54" w:rsidRPr="008B3F50">
        <w:rPr>
          <w:b/>
          <w:bCs/>
          <w:position w:val="-2"/>
          <w:sz w:val="22"/>
          <w:szCs w:val="22"/>
          <w:lang w:val="en-US"/>
        </w:rPr>
        <w:t>o</w:t>
      </w:r>
      <w:r w:rsidR="005B5D54" w:rsidRPr="008B3F50">
        <w:rPr>
          <w:sz w:val="22"/>
          <w:szCs w:val="22"/>
          <w:lang w:val="en-US"/>
        </w:rPr>
        <w:t xml:space="preserve">: observed heterozygosity. </w:t>
      </w:r>
      <w:r w:rsidR="005B5D54" w:rsidRPr="008B3F50">
        <w:rPr>
          <w:b/>
          <w:bCs/>
          <w:sz w:val="22"/>
          <w:szCs w:val="22"/>
          <w:lang w:val="en-US"/>
        </w:rPr>
        <w:t>H</w:t>
      </w:r>
      <w:r w:rsidR="005B5D54" w:rsidRPr="008B3F50">
        <w:rPr>
          <w:b/>
          <w:bCs/>
          <w:position w:val="-2"/>
          <w:sz w:val="22"/>
          <w:szCs w:val="22"/>
          <w:lang w:val="en-US"/>
        </w:rPr>
        <w:t>e</w:t>
      </w:r>
      <w:r w:rsidR="007724DE">
        <w:rPr>
          <w:sz w:val="22"/>
          <w:szCs w:val="22"/>
          <w:lang w:val="en-US"/>
        </w:rPr>
        <w:t>: expected heterozygosity</w:t>
      </w:r>
    </w:p>
    <w:tbl>
      <w:tblPr>
        <w:tblW w:w="69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5"/>
        <w:gridCol w:w="476"/>
        <w:gridCol w:w="788"/>
        <w:gridCol w:w="539"/>
        <w:gridCol w:w="531"/>
        <w:gridCol w:w="625"/>
        <w:gridCol w:w="539"/>
        <w:gridCol w:w="531"/>
        <w:gridCol w:w="541"/>
        <w:gridCol w:w="655"/>
        <w:gridCol w:w="604"/>
      </w:tblGrid>
      <w:tr w:rsidR="00E436D7" w:rsidRPr="003F68E3" w:rsidTr="00E436D7">
        <w:trPr>
          <w:trHeight w:val="302"/>
          <w:jc w:val="center"/>
        </w:trPr>
        <w:tc>
          <w:tcPr>
            <w:tcW w:w="115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bCs/>
                <w:i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bCs/>
                <w:i/>
                <w:color w:val="000000"/>
                <w:sz w:val="22"/>
                <w:szCs w:val="22"/>
                <w:lang w:eastAsia="es-ES"/>
              </w:rPr>
              <w:t>Locus</w:t>
            </w:r>
          </w:p>
        </w:tc>
        <w:tc>
          <w:tcPr>
            <w:tcW w:w="29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sz w:val="22"/>
                <w:szCs w:val="22"/>
              </w:rPr>
            </w:pPr>
            <w:r w:rsidRPr="003F68E3">
              <w:rPr>
                <w:b/>
                <w:sz w:val="22"/>
                <w:szCs w:val="22"/>
              </w:rPr>
              <w:t>TOP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3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sz w:val="22"/>
                <w:szCs w:val="22"/>
              </w:rPr>
            </w:pPr>
            <w:r w:rsidRPr="003F68E3">
              <w:rPr>
                <w:b/>
                <w:sz w:val="22"/>
                <w:szCs w:val="22"/>
              </w:rPr>
              <w:t>BAN</w:t>
            </w:r>
          </w:p>
        </w:tc>
      </w:tr>
      <w:tr w:rsidR="00E436D7" w:rsidRPr="003F68E3" w:rsidTr="00E436D7">
        <w:trPr>
          <w:trHeight w:val="302"/>
          <w:jc w:val="center"/>
        </w:trPr>
        <w:tc>
          <w:tcPr>
            <w:tcW w:w="115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color w:val="000000"/>
                <w:sz w:val="22"/>
                <w:szCs w:val="22"/>
                <w:lang w:eastAsia="es-ES"/>
              </w:rPr>
              <w:t>A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sz w:val="22"/>
                <w:szCs w:val="22"/>
              </w:rPr>
              <w:t>A</w:t>
            </w:r>
            <w:r w:rsidRPr="003F68E3">
              <w:rPr>
                <w:b/>
                <w:sz w:val="22"/>
                <w:szCs w:val="22"/>
                <w:vertAlign w:val="subscript"/>
              </w:rPr>
              <w:t>e</w:t>
            </w: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sz w:val="22"/>
                <w:szCs w:val="22"/>
                <w:vertAlign w:val="subscript"/>
              </w:rPr>
            </w:pPr>
            <w:r w:rsidRPr="003F68E3">
              <w:rPr>
                <w:b/>
                <w:sz w:val="22"/>
                <w:szCs w:val="22"/>
              </w:rPr>
              <w:t>A</w:t>
            </w:r>
            <w:r w:rsidRPr="003F68E3">
              <w:rPr>
                <w:b/>
                <w:sz w:val="22"/>
                <w:szCs w:val="22"/>
                <w:vertAlign w:val="subscript"/>
              </w:rPr>
              <w:t>R</w:t>
            </w:r>
          </w:p>
        </w:tc>
        <w:tc>
          <w:tcPr>
            <w:tcW w:w="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sz w:val="22"/>
                <w:szCs w:val="22"/>
              </w:rPr>
              <w:t>H</w:t>
            </w:r>
            <w:r w:rsidRPr="003F68E3">
              <w:rPr>
                <w:b/>
                <w:sz w:val="22"/>
                <w:szCs w:val="22"/>
                <w:vertAlign w:val="subscript"/>
              </w:rPr>
              <w:t>o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sz w:val="22"/>
                <w:szCs w:val="22"/>
              </w:rPr>
              <w:t>H</w:t>
            </w:r>
            <w:r w:rsidRPr="003F68E3">
              <w:rPr>
                <w:b/>
                <w:sz w:val="22"/>
                <w:szCs w:val="22"/>
                <w:vertAlign w:val="subscript"/>
              </w:rPr>
              <w:t>e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color w:val="000000"/>
                <w:sz w:val="22"/>
                <w:szCs w:val="22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sz w:val="22"/>
                <w:szCs w:val="22"/>
              </w:rPr>
              <w:t>A</w:t>
            </w:r>
            <w:r w:rsidRPr="003F68E3">
              <w:rPr>
                <w:b/>
                <w:sz w:val="22"/>
                <w:szCs w:val="22"/>
                <w:vertAlign w:val="subscript"/>
              </w:rPr>
              <w:t>e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sz w:val="22"/>
                <w:szCs w:val="22"/>
                <w:vertAlign w:val="subscript"/>
              </w:rPr>
            </w:pPr>
            <w:r w:rsidRPr="003F68E3">
              <w:rPr>
                <w:b/>
                <w:sz w:val="22"/>
                <w:szCs w:val="22"/>
              </w:rPr>
              <w:t>A</w:t>
            </w:r>
            <w:r w:rsidRPr="003F68E3">
              <w:rPr>
                <w:b/>
                <w:sz w:val="22"/>
                <w:szCs w:val="22"/>
                <w:vertAlign w:val="subscript"/>
              </w:rPr>
              <w:t>R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sz w:val="22"/>
                <w:szCs w:val="22"/>
              </w:rPr>
              <w:t>H</w:t>
            </w:r>
            <w:r w:rsidRPr="003F68E3">
              <w:rPr>
                <w:b/>
                <w:sz w:val="22"/>
                <w:szCs w:val="22"/>
                <w:vertAlign w:val="subscript"/>
              </w:rPr>
              <w:t>o</w:t>
            </w:r>
          </w:p>
        </w:tc>
        <w:tc>
          <w:tcPr>
            <w:tcW w:w="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36D7" w:rsidRPr="003F68E3" w:rsidRDefault="00E436D7" w:rsidP="00700A74">
            <w:pPr>
              <w:jc w:val="center"/>
              <w:rPr>
                <w:b/>
                <w:color w:val="000000"/>
                <w:sz w:val="22"/>
                <w:szCs w:val="22"/>
                <w:lang w:eastAsia="es-ES"/>
              </w:rPr>
            </w:pPr>
            <w:r w:rsidRPr="003F68E3">
              <w:rPr>
                <w:b/>
                <w:sz w:val="22"/>
                <w:szCs w:val="22"/>
              </w:rPr>
              <w:t>H</w:t>
            </w:r>
            <w:r w:rsidRPr="003F68E3">
              <w:rPr>
                <w:b/>
                <w:sz w:val="22"/>
                <w:szCs w:val="22"/>
                <w:vertAlign w:val="subscript"/>
              </w:rPr>
              <w:t>e</w:t>
            </w:r>
          </w:p>
        </w:tc>
      </w:tr>
      <w:tr w:rsidR="00E436D7" w:rsidRPr="003F68E3" w:rsidTr="00700A74">
        <w:trPr>
          <w:trHeight w:val="207"/>
          <w:jc w:val="center"/>
        </w:trPr>
        <w:tc>
          <w:tcPr>
            <w:tcW w:w="115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MA39_023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88" w:type="dxa"/>
            <w:tcBorders>
              <w:top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527" w:type="dxa"/>
            <w:tcBorders>
              <w:top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25" w:type="dxa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tcBorders>
              <w:top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605" w:type="dxa"/>
            <w:tcBorders>
              <w:top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64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MA39_093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MA39_185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6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MA40_045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6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MA41_076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MA41_264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6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MA41_373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50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MA42_063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7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5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52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MA42_077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7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7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5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52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MA42_087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6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MA42_203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64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MA42_241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50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MA42_265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5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MA42_397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50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MA42_413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64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MA42_421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00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MA42_471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6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7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5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52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MA42_472</w:t>
            </w:r>
          </w:p>
        </w:tc>
        <w:tc>
          <w:tcPr>
            <w:tcW w:w="476" w:type="dxa"/>
            <w:tcBorders>
              <w:lef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788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53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4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527" w:type="dxa"/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625" w:type="dxa"/>
            <w:tcBorders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6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605" w:type="dxa"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59</w:t>
            </w:r>
          </w:p>
        </w:tc>
      </w:tr>
      <w:tr w:rsidR="00E436D7" w:rsidRPr="003F68E3" w:rsidTr="00700A74">
        <w:trPr>
          <w:trHeight w:val="302"/>
          <w:jc w:val="center"/>
        </w:trPr>
        <w:tc>
          <w:tcPr>
            <w:tcW w:w="115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68E3">
              <w:rPr>
                <w:bCs/>
                <w:color w:val="000000"/>
                <w:sz w:val="22"/>
                <w:szCs w:val="22"/>
              </w:rPr>
              <w:t>MA42_481</w:t>
            </w:r>
          </w:p>
        </w:tc>
        <w:tc>
          <w:tcPr>
            <w:tcW w:w="476" w:type="dxa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1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527" w:type="dxa"/>
            <w:tcBorders>
              <w:bottom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625" w:type="dxa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543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2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05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436D7" w:rsidRPr="00D27D56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D27D56">
              <w:rPr>
                <w:color w:val="000000"/>
                <w:sz w:val="22"/>
                <w:szCs w:val="22"/>
              </w:rPr>
              <w:t>3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D27D56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657" w:type="dxa"/>
            <w:tcBorders>
              <w:bottom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605" w:type="dxa"/>
            <w:tcBorders>
              <w:bottom w:val="single" w:sz="4" w:space="0" w:color="auto"/>
            </w:tcBorders>
            <w:vAlign w:val="bottom"/>
          </w:tcPr>
          <w:p w:rsidR="00E436D7" w:rsidRPr="003F68E3" w:rsidRDefault="00E436D7" w:rsidP="00700A74">
            <w:pPr>
              <w:jc w:val="center"/>
              <w:rPr>
                <w:color w:val="000000"/>
                <w:sz w:val="22"/>
                <w:szCs w:val="22"/>
              </w:rPr>
            </w:pPr>
            <w:r w:rsidRPr="003F68E3">
              <w:rPr>
                <w:color w:val="000000"/>
                <w:sz w:val="22"/>
                <w:szCs w:val="22"/>
              </w:rPr>
              <w:t>0</w:t>
            </w:r>
            <w:r w:rsidR="00B75E9F">
              <w:rPr>
                <w:color w:val="000000"/>
                <w:sz w:val="22"/>
                <w:szCs w:val="22"/>
              </w:rPr>
              <w:t>.</w:t>
            </w:r>
            <w:r w:rsidRPr="003F68E3">
              <w:rPr>
                <w:color w:val="000000"/>
                <w:sz w:val="22"/>
                <w:szCs w:val="22"/>
              </w:rPr>
              <w:t>51</w:t>
            </w:r>
          </w:p>
        </w:tc>
      </w:tr>
    </w:tbl>
    <w:p w:rsidR="007D2F70" w:rsidRPr="008D69E1" w:rsidRDefault="007D2F70">
      <w:pPr>
        <w:rPr>
          <w:lang w:val="en-US"/>
        </w:rPr>
      </w:pPr>
    </w:p>
    <w:sectPr w:rsidR="007D2F70" w:rsidRPr="008D69E1" w:rsidSect="008D69E1"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E1"/>
    <w:rsid w:val="000909D3"/>
    <w:rsid w:val="00191CB2"/>
    <w:rsid w:val="00540341"/>
    <w:rsid w:val="005B5D54"/>
    <w:rsid w:val="007724DE"/>
    <w:rsid w:val="007D2F70"/>
    <w:rsid w:val="008D69E1"/>
    <w:rsid w:val="00B75E9F"/>
    <w:rsid w:val="00D10446"/>
    <w:rsid w:val="00D60B4A"/>
    <w:rsid w:val="00D928D2"/>
    <w:rsid w:val="00E436D7"/>
    <w:rsid w:val="00F3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B1300C-2177-174A-B56A-E7E1E39F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69E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36D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 w:bidi="my-MM"/>
    </w:rPr>
  </w:style>
  <w:style w:type="character" w:styleId="Hipervnculo">
    <w:name w:val="Hyperlink"/>
    <w:basedOn w:val="Fuentedeprrafopredeter"/>
    <w:uiPriority w:val="99"/>
    <w:unhideWhenUsed/>
    <w:rsid w:val="007724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443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10</cp:revision>
  <dcterms:created xsi:type="dcterms:W3CDTF">2021-02-07T05:30:00Z</dcterms:created>
  <dcterms:modified xsi:type="dcterms:W3CDTF">2021-04-16T03:36:00Z</dcterms:modified>
</cp:coreProperties>
</file>