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CF27F1" w14:textId="77777777" w:rsidR="00E47EA4" w:rsidRDefault="00E47EA4" w:rsidP="00E47EA4">
      <w:pPr>
        <w:pStyle w:val="Normale1"/>
        <w:pageBreakBefore/>
        <w:spacing w:line="480" w:lineRule="auto"/>
      </w:pP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>Table 1.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Characteristics of the study population</w:t>
      </w:r>
    </w:p>
    <w:p w14:paraId="4C3C3160" w14:textId="77777777" w:rsidR="00E47EA4" w:rsidRDefault="00E47EA4" w:rsidP="00E47EA4">
      <w:pPr>
        <w:pStyle w:val="Normale1"/>
        <w:pBdr>
          <w:top w:val="single" w:sz="4" w:space="1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240" w:lineRule="auto"/>
      </w:pPr>
      <w:r>
        <w:rPr>
          <w:rFonts w:ascii="Times New Roman" w:hAnsi="Times New Roman" w:cs="Times New Roman"/>
          <w:sz w:val="20"/>
          <w:szCs w:val="20"/>
          <w:lang w:val="en-US"/>
        </w:rPr>
        <w:t xml:space="preserve">Age, mean (SD), y 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78.0 (13.3)</w:t>
      </w:r>
    </w:p>
    <w:p w14:paraId="3C3F0E23" w14:textId="77777777" w:rsidR="00E47EA4" w:rsidRDefault="00E47EA4" w:rsidP="00E47EA4">
      <w:pPr>
        <w:pStyle w:val="Normale1"/>
        <w:spacing w:line="240" w:lineRule="auto"/>
      </w:pPr>
      <w:r>
        <w:rPr>
          <w:rFonts w:ascii="Times New Roman" w:hAnsi="Times New Roman" w:cs="Times New Roman"/>
          <w:sz w:val="20"/>
          <w:szCs w:val="20"/>
          <w:lang w:val="en-US"/>
        </w:rPr>
        <w:t xml:space="preserve">Female sex 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300 (59.2)</w:t>
      </w:r>
    </w:p>
    <w:p w14:paraId="5A0E1B85" w14:textId="77777777" w:rsidR="00E47EA4" w:rsidRDefault="00E47EA4" w:rsidP="00E47EA4">
      <w:pPr>
        <w:pStyle w:val="Normale1"/>
        <w:spacing w:line="240" w:lineRule="auto"/>
      </w:pPr>
      <w:r>
        <w:rPr>
          <w:rFonts w:ascii="Times New Roman" w:hAnsi="Times New Roman" w:cs="Times New Roman"/>
          <w:sz w:val="20"/>
          <w:szCs w:val="20"/>
          <w:lang w:val="en-US"/>
        </w:rPr>
        <w:t>BMI mean (SD), kg/m</w:t>
      </w:r>
      <w:r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2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25.4 (4.8)</w:t>
      </w:r>
    </w:p>
    <w:p w14:paraId="6A42B01B" w14:textId="69770621" w:rsidR="00E47EA4" w:rsidRDefault="00E47EA4" w:rsidP="00E47EA4">
      <w:pPr>
        <w:pStyle w:val="Normale1"/>
        <w:spacing w:line="240" w:lineRule="auto"/>
      </w:pPr>
      <w:r>
        <w:rPr>
          <w:rFonts w:ascii="Times New Roman" w:hAnsi="Times New Roman" w:cs="Times New Roman"/>
          <w:sz w:val="20"/>
          <w:szCs w:val="20"/>
          <w:lang w:val="en-US"/>
        </w:rPr>
        <w:t>Reduced mobility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             </w:t>
      </w:r>
      <w:r>
        <w:rPr>
          <w:rFonts w:ascii="Times New Roman" w:hAnsi="Times New Roman" w:cs="Times New Roman"/>
          <w:sz w:val="20"/>
          <w:szCs w:val="20"/>
          <w:lang w:val="en-US"/>
        </w:rPr>
        <w:t>258 (50.9)</w:t>
      </w:r>
    </w:p>
    <w:p w14:paraId="1B6AE024" w14:textId="77777777" w:rsidR="00E47EA4" w:rsidRDefault="00E47EA4" w:rsidP="00E47EA4">
      <w:pPr>
        <w:pStyle w:val="Normale1"/>
        <w:spacing w:line="240" w:lineRule="auto"/>
      </w:pPr>
      <w:r>
        <w:rPr>
          <w:rFonts w:ascii="Times New Roman" w:hAnsi="Times New Roman" w:cs="Times New Roman"/>
          <w:sz w:val="20"/>
          <w:szCs w:val="20"/>
          <w:lang w:val="en-US"/>
        </w:rPr>
        <w:t xml:space="preserve">Active cancer 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113 (22.3)</w:t>
      </w:r>
    </w:p>
    <w:p w14:paraId="6E2580DE" w14:textId="77777777" w:rsidR="00E47EA4" w:rsidRDefault="00E47EA4" w:rsidP="00E47EA4">
      <w:pPr>
        <w:pStyle w:val="Normale1"/>
        <w:spacing w:line="240" w:lineRule="auto"/>
      </w:pPr>
      <w:r>
        <w:rPr>
          <w:rFonts w:ascii="Times New Roman" w:hAnsi="Times New Roman" w:cs="Times New Roman"/>
          <w:sz w:val="20"/>
          <w:szCs w:val="20"/>
          <w:lang w:val="en-US"/>
        </w:rPr>
        <w:t>Previous VTE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70 (13.8)</w:t>
      </w:r>
    </w:p>
    <w:p w14:paraId="2FCDC2E7" w14:textId="77777777" w:rsidR="00E47EA4" w:rsidRDefault="00E47EA4" w:rsidP="00E47EA4">
      <w:pPr>
        <w:pStyle w:val="Normale1"/>
        <w:spacing w:line="240" w:lineRule="auto"/>
      </w:pPr>
      <w:r>
        <w:rPr>
          <w:rFonts w:ascii="Times New Roman" w:hAnsi="Times New Roman" w:cs="Times New Roman"/>
          <w:sz w:val="20"/>
          <w:szCs w:val="20"/>
          <w:lang w:val="en-US"/>
        </w:rPr>
        <w:t>Acute infection/rheumatologic disorder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242 (47.7)</w:t>
      </w:r>
    </w:p>
    <w:p w14:paraId="03BAF44F" w14:textId="77777777" w:rsidR="00E47EA4" w:rsidRDefault="00E47EA4" w:rsidP="00E47EA4">
      <w:pPr>
        <w:pStyle w:val="Normale1"/>
        <w:spacing w:line="240" w:lineRule="auto"/>
      </w:pPr>
      <w:r>
        <w:rPr>
          <w:rFonts w:ascii="Times New Roman" w:hAnsi="Times New Roman" w:cs="Times New Roman"/>
          <w:sz w:val="20"/>
          <w:szCs w:val="20"/>
          <w:lang w:val="en-US"/>
        </w:rPr>
        <w:t>COPD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98 (19.3)</w:t>
      </w:r>
    </w:p>
    <w:p w14:paraId="363B2CC1" w14:textId="77777777" w:rsidR="00E47EA4" w:rsidRDefault="00E47EA4" w:rsidP="00E47EA4">
      <w:pPr>
        <w:pStyle w:val="Normale1"/>
        <w:spacing w:line="240" w:lineRule="auto"/>
      </w:pPr>
      <w:r>
        <w:rPr>
          <w:rFonts w:ascii="Times New Roman" w:hAnsi="Times New Roman" w:cs="Times New Roman"/>
          <w:sz w:val="20"/>
          <w:szCs w:val="20"/>
          <w:lang w:val="en-US"/>
        </w:rPr>
        <w:t>Heart Failure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78 (15.4)</w:t>
      </w:r>
    </w:p>
    <w:p w14:paraId="1730A87B" w14:textId="77777777" w:rsidR="00E47EA4" w:rsidRDefault="00E47EA4" w:rsidP="00E47EA4">
      <w:pPr>
        <w:pStyle w:val="Normale1"/>
        <w:spacing w:line="240" w:lineRule="auto"/>
      </w:pPr>
      <w:r>
        <w:rPr>
          <w:rFonts w:ascii="Times New Roman" w:hAnsi="Times New Roman" w:cs="Times New Roman"/>
          <w:sz w:val="20"/>
          <w:szCs w:val="20"/>
          <w:lang w:val="en-US"/>
        </w:rPr>
        <w:t>Recent Trauma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73 (14.4)</w:t>
      </w:r>
    </w:p>
    <w:p w14:paraId="40BC2B49" w14:textId="77777777" w:rsidR="00E47EA4" w:rsidRDefault="00E47EA4" w:rsidP="00E47EA4">
      <w:pPr>
        <w:pStyle w:val="Normale1"/>
        <w:spacing w:line="240" w:lineRule="auto"/>
      </w:pPr>
      <w:r>
        <w:rPr>
          <w:rFonts w:ascii="Times New Roman" w:hAnsi="Times New Roman" w:cs="Times New Roman"/>
          <w:sz w:val="20"/>
          <w:szCs w:val="20"/>
          <w:lang w:val="en-US"/>
        </w:rPr>
        <w:t>Stroke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59 (11.4)</w:t>
      </w:r>
    </w:p>
    <w:p w14:paraId="0DD556A1" w14:textId="77777777" w:rsidR="00E47EA4" w:rsidRDefault="00E47EA4" w:rsidP="00E47EA4">
      <w:pPr>
        <w:pStyle w:val="Normale1"/>
        <w:spacing w:line="240" w:lineRule="auto"/>
      </w:pPr>
      <w:r>
        <w:rPr>
          <w:rFonts w:ascii="Times New Roman" w:hAnsi="Times New Roman" w:cs="Times New Roman"/>
          <w:sz w:val="20"/>
          <w:szCs w:val="20"/>
          <w:lang w:val="en-US"/>
        </w:rPr>
        <w:t>Myocardial infarction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15 (3.0)</w:t>
      </w:r>
    </w:p>
    <w:p w14:paraId="4C69206D" w14:textId="77777777" w:rsidR="00E47EA4" w:rsidRDefault="00E47EA4" w:rsidP="00E47EA4">
      <w:pPr>
        <w:pStyle w:val="Normale1"/>
        <w:spacing w:line="240" w:lineRule="auto"/>
      </w:pPr>
      <w:r>
        <w:rPr>
          <w:rFonts w:ascii="Times New Roman" w:hAnsi="Times New Roman" w:cs="Times New Roman"/>
          <w:sz w:val="20"/>
          <w:szCs w:val="20"/>
          <w:lang w:val="en-US"/>
        </w:rPr>
        <w:t>Hormonal treatment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13 (2.6)</w:t>
      </w:r>
    </w:p>
    <w:p w14:paraId="780DC970" w14:textId="77777777" w:rsidR="00E47EA4" w:rsidRDefault="00E47EA4" w:rsidP="00E47EA4">
      <w:pPr>
        <w:pStyle w:val="Normale1"/>
        <w:spacing w:line="240" w:lineRule="auto"/>
      </w:pPr>
      <w:r>
        <w:rPr>
          <w:rFonts w:ascii="Times New Roman" w:hAnsi="Times New Roman" w:cs="Times New Roman"/>
          <w:sz w:val="20"/>
          <w:szCs w:val="20"/>
          <w:lang w:val="en-US"/>
        </w:rPr>
        <w:t>Thrombophilia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7 (1.4)</w:t>
      </w:r>
    </w:p>
    <w:p w14:paraId="43F5D7B5" w14:textId="1C535924" w:rsidR="00E47EA4" w:rsidRDefault="00E47EA4" w:rsidP="00E47EA4">
      <w:pPr>
        <w:pStyle w:val="Normale1"/>
        <w:spacing w:line="240" w:lineRule="auto"/>
      </w:pPr>
      <w:r>
        <w:rPr>
          <w:rFonts w:ascii="Times New Roman" w:hAnsi="Times New Roman" w:cs="Times New Roman"/>
          <w:sz w:val="20"/>
          <w:szCs w:val="20"/>
          <w:lang w:val="en-US"/>
        </w:rPr>
        <w:t>ICU stay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               </w:t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0 (0)</w:t>
      </w:r>
    </w:p>
    <w:p w14:paraId="496104B5" w14:textId="77777777" w:rsidR="00E47EA4" w:rsidRDefault="00E47EA4" w:rsidP="00E47EA4">
      <w:pPr>
        <w:pStyle w:val="Normale1"/>
        <w:spacing w:line="240" w:lineRule="auto"/>
      </w:pPr>
      <w:r>
        <w:rPr>
          <w:rFonts w:ascii="Times New Roman" w:hAnsi="Times New Roman" w:cs="Times New Roman"/>
          <w:sz w:val="20"/>
          <w:szCs w:val="20"/>
          <w:lang w:val="en-US"/>
        </w:rPr>
        <w:t>Hospitalization days at the time of LEUS, mean (SD), d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5.2 (6.2)</w:t>
      </w:r>
    </w:p>
    <w:p w14:paraId="29FE784F" w14:textId="77777777" w:rsidR="00E47EA4" w:rsidRDefault="00E47EA4" w:rsidP="00E47EA4">
      <w:pPr>
        <w:pStyle w:val="Normale1"/>
        <w:spacing w:line="240" w:lineRule="auto"/>
      </w:pPr>
      <w:r>
        <w:rPr>
          <w:rFonts w:ascii="Times New Roman" w:hAnsi="Times New Roman" w:cs="Times New Roman"/>
          <w:sz w:val="20"/>
          <w:szCs w:val="20"/>
          <w:lang w:val="en-US"/>
        </w:rPr>
        <w:t>Pharmacologic thromboprophylaxis used$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 xml:space="preserve"> 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282 (55.6)</w:t>
      </w:r>
    </w:p>
    <w:p w14:paraId="225A3F66" w14:textId="77777777" w:rsidR="00E47EA4" w:rsidRDefault="00E47EA4" w:rsidP="00E47EA4">
      <w:pPr>
        <w:pStyle w:val="Normale1"/>
        <w:pBdr>
          <w:top w:val="single" w:sz="1" w:space="1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480" w:lineRule="auto"/>
      </w:pPr>
      <w:r>
        <w:rPr>
          <w:rFonts w:ascii="Times New Roman" w:hAnsi="Times New Roman" w:cs="Times New Roman"/>
          <w:sz w:val="20"/>
          <w:szCs w:val="20"/>
          <w:lang w:val="en-US"/>
        </w:rPr>
        <w:t>Data are presented as number (percentage) of patients unless otherwise indicated. LEUS, Lower extremity ultrasound study; BMI, body mass index, VTE, venous thromboembolism; COPD chronic obstructive pulmonary disease, ICU, intensive care unit. $use of subcutaneous heparin calcium, 5000 U, 2 or 3 times daily, or subcutaneous enoxaparin sodium, 40mg/d, or subcutaneous fondaparinux, 1,5/2,5 mg/d; §including hematology/oncology.</w:t>
      </w:r>
    </w:p>
    <w:p w14:paraId="7B3EF794" w14:textId="77777777" w:rsidR="00E47EA4" w:rsidRDefault="00E47EA4" w:rsidP="00E47EA4">
      <w:pPr>
        <w:pStyle w:val="Corpodeltesto31"/>
        <w:pageBreakBefore/>
        <w:tabs>
          <w:tab w:val="left" w:pos="3686"/>
          <w:tab w:val="left" w:pos="6379"/>
        </w:tabs>
        <w:rPr>
          <w:rFonts w:eastAsia="Arial Unicode MS"/>
          <w:sz w:val="20"/>
          <w:szCs w:val="20"/>
          <w:lang/>
        </w:rPr>
      </w:pPr>
    </w:p>
    <w:p w14:paraId="39ACEC91" w14:textId="77777777" w:rsidR="00E47EA4" w:rsidRDefault="00E47EA4" w:rsidP="00E47EA4">
      <w:pPr>
        <w:pStyle w:val="Corpodeltesto31"/>
        <w:tabs>
          <w:tab w:val="left" w:pos="3686"/>
          <w:tab w:val="left" w:pos="6379"/>
        </w:tabs>
        <w:rPr>
          <w:rFonts w:eastAsia="Arial Unicode MS"/>
          <w:sz w:val="20"/>
          <w:szCs w:val="20"/>
          <w:lang/>
        </w:rPr>
      </w:pPr>
    </w:p>
    <w:p w14:paraId="39FC3DA2" w14:textId="77777777" w:rsidR="00E47EA4" w:rsidRDefault="00E47EA4" w:rsidP="00E47EA4">
      <w:pPr>
        <w:pStyle w:val="Corpodeltesto31"/>
        <w:tabs>
          <w:tab w:val="left" w:pos="3686"/>
          <w:tab w:val="left" w:pos="6379"/>
        </w:tabs>
      </w:pPr>
      <w:r>
        <w:rPr>
          <w:rFonts w:eastAsia="Calibri"/>
          <w:b/>
          <w:bCs/>
          <w:sz w:val="20"/>
          <w:szCs w:val="20"/>
        </w:rPr>
        <w:t>Table 2.</w:t>
      </w:r>
      <w:r>
        <w:rPr>
          <w:rFonts w:eastAsia="Calibri"/>
          <w:sz w:val="20"/>
          <w:szCs w:val="20"/>
        </w:rPr>
        <w:t xml:space="preserve"> Prevalence of Deep Vein Thrombosis in patients from medical wards according to the Padua Prediction Score</w:t>
      </w:r>
    </w:p>
    <w:p w14:paraId="1CD54A38" w14:textId="77777777" w:rsidR="00E47EA4" w:rsidRDefault="00E47EA4" w:rsidP="00E47EA4">
      <w:pPr>
        <w:pStyle w:val="Normale1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686"/>
          <w:tab w:val="left" w:pos="3920"/>
          <w:tab w:val="left" w:pos="4480"/>
          <w:tab w:val="left" w:pos="5040"/>
          <w:tab w:val="left" w:pos="5600"/>
          <w:tab w:val="left" w:pos="6160"/>
          <w:tab w:val="left" w:pos="6379"/>
          <w:tab w:val="left" w:pos="6720"/>
          <w:tab w:val="left" w:pos="7020"/>
        </w:tabs>
        <w:rPr>
          <w:rFonts w:ascii="Times New Roman" w:hAnsi="Times New Roman" w:cs="Times New Roman"/>
          <w:sz w:val="20"/>
          <w:szCs w:val="20"/>
          <w:lang w:val="en-US"/>
        </w:rPr>
      </w:pPr>
    </w:p>
    <w:p w14:paraId="3D8CFC11" w14:textId="77777777" w:rsidR="00E47EA4" w:rsidRDefault="00E47EA4" w:rsidP="00E47EA4">
      <w:pPr>
        <w:pStyle w:val="Normale1"/>
        <w:widowControl w:val="0"/>
        <w:pBdr>
          <w:top w:val="none" w:sz="0" w:space="0" w:color="000000"/>
          <w:left w:val="none" w:sz="0" w:space="0" w:color="000000"/>
          <w:bottom w:val="single" w:sz="4" w:space="1" w:color="000000"/>
          <w:right w:val="none" w:sz="0" w:space="0" w:color="000000"/>
        </w:pBd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686"/>
          <w:tab w:val="left" w:pos="3920"/>
          <w:tab w:val="left" w:pos="4480"/>
          <w:tab w:val="left" w:pos="5040"/>
          <w:tab w:val="left" w:pos="5600"/>
          <w:tab w:val="left" w:pos="6160"/>
          <w:tab w:val="left" w:pos="6379"/>
          <w:tab w:val="left" w:pos="6720"/>
        </w:tabs>
      </w:pPr>
      <w:r>
        <w:rPr>
          <w:rFonts w:ascii="Times New Roman" w:hAnsi="Times New Roman" w:cs="Times New Roman"/>
          <w:sz w:val="20"/>
          <w:szCs w:val="20"/>
          <w:lang w:val="en-US"/>
        </w:rPr>
        <w:t>PPS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low risk VTE</w:t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(&lt;4)</w:t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high risk VTE (</w:t>
      </w:r>
      <w:r>
        <w:rPr>
          <w:rFonts w:ascii="Times New Roman" w:eastAsia="Times New Roman" w:hAnsi="Times New Roman" w:cs="Times New Roman"/>
          <w:sz w:val="20"/>
          <w:szCs w:val="20"/>
          <w:lang w:val="en-US"/>
        </w:rPr>
        <w:t>≥</w:t>
      </w:r>
      <w:r>
        <w:rPr>
          <w:rFonts w:ascii="Times New Roman" w:hAnsi="Times New Roman" w:cs="Times New Roman"/>
          <w:sz w:val="20"/>
          <w:szCs w:val="20"/>
          <w:lang w:val="en-US"/>
        </w:rPr>
        <w:t>4)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pt-PT"/>
        </w:rPr>
        <w:t>p vs low risk VTE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total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</w:p>
    <w:p w14:paraId="64AEFB14" w14:textId="3C9BA9CB" w:rsidR="00E47EA4" w:rsidRDefault="00E47EA4" w:rsidP="00E47EA4">
      <w:pPr>
        <w:pStyle w:val="Normale1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686"/>
          <w:tab w:val="left" w:pos="3859"/>
          <w:tab w:val="left" w:pos="4480"/>
          <w:tab w:val="left" w:pos="5040"/>
          <w:tab w:val="left" w:pos="5600"/>
          <w:tab w:val="left" w:pos="6068"/>
          <w:tab w:val="left" w:pos="6379"/>
          <w:tab w:val="left" w:pos="6720"/>
        </w:tabs>
      </w:pPr>
      <w:r>
        <w:rPr>
          <w:rFonts w:ascii="Times New Roman" w:hAnsi="Times New Roman" w:cs="Times New Roman"/>
          <w:sz w:val="20"/>
          <w:szCs w:val="20"/>
          <w:lang w:val="pt-PT"/>
        </w:rPr>
        <w:t>n (%)</w:t>
      </w:r>
      <w:r>
        <w:rPr>
          <w:rFonts w:ascii="Times New Roman" w:hAnsi="Times New Roman" w:cs="Times New Roman"/>
          <w:sz w:val="20"/>
          <w:szCs w:val="20"/>
          <w:lang w:val="pt-PT"/>
        </w:rPr>
        <w:tab/>
      </w:r>
      <w:r>
        <w:rPr>
          <w:rFonts w:ascii="Times New Roman" w:hAnsi="Times New Roman" w:cs="Times New Roman"/>
          <w:sz w:val="20"/>
          <w:szCs w:val="20"/>
          <w:lang w:val="pt-PT"/>
        </w:rPr>
        <w:tab/>
      </w:r>
      <w:r>
        <w:rPr>
          <w:rFonts w:ascii="Times New Roman" w:hAnsi="Times New Roman" w:cs="Times New Roman"/>
          <w:sz w:val="20"/>
          <w:szCs w:val="20"/>
          <w:lang w:val="pt-PT"/>
        </w:rPr>
        <w:tab/>
      </w:r>
      <w:r>
        <w:rPr>
          <w:rFonts w:ascii="Times New Roman" w:hAnsi="Times New Roman" w:cs="Times New Roman"/>
          <w:sz w:val="20"/>
          <w:szCs w:val="20"/>
          <w:lang w:val="pt-PT"/>
        </w:rPr>
        <w:tab/>
      </w:r>
      <w:r>
        <w:rPr>
          <w:rFonts w:ascii="Times New Roman" w:hAnsi="Times New Roman" w:cs="Times New Roman"/>
          <w:sz w:val="20"/>
          <w:szCs w:val="20"/>
          <w:lang w:val="pt-PT"/>
        </w:rPr>
        <w:tab/>
        <w:t>301 (59.2)</w:t>
      </w:r>
      <w:r>
        <w:rPr>
          <w:rFonts w:ascii="Times New Roman" w:hAnsi="Times New Roman" w:cs="Times New Roman"/>
          <w:sz w:val="20"/>
          <w:szCs w:val="20"/>
          <w:lang w:val="pt-PT"/>
        </w:rPr>
        <w:tab/>
      </w:r>
      <w:r>
        <w:rPr>
          <w:rFonts w:ascii="Times New Roman" w:hAnsi="Times New Roman" w:cs="Times New Roman"/>
          <w:sz w:val="20"/>
          <w:szCs w:val="20"/>
          <w:lang w:val="pt-PT"/>
        </w:rPr>
        <w:tab/>
      </w:r>
      <w:r>
        <w:rPr>
          <w:rFonts w:ascii="Times New Roman" w:hAnsi="Times New Roman" w:cs="Times New Roman"/>
          <w:sz w:val="20"/>
          <w:szCs w:val="20"/>
          <w:lang w:val="pt-PT"/>
        </w:rPr>
        <w:tab/>
        <w:t>204 (40.2)</w:t>
      </w:r>
      <w:r>
        <w:rPr>
          <w:rFonts w:ascii="Times New Roman" w:hAnsi="Times New Roman" w:cs="Times New Roman"/>
          <w:sz w:val="20"/>
          <w:szCs w:val="20"/>
          <w:lang w:val="pt-PT"/>
        </w:rPr>
        <w:tab/>
      </w:r>
      <w:r>
        <w:rPr>
          <w:rFonts w:ascii="Times New Roman" w:hAnsi="Times New Roman" w:cs="Times New Roman"/>
          <w:sz w:val="20"/>
          <w:szCs w:val="20"/>
          <w:lang w:val="pt-PT"/>
        </w:rPr>
        <w:tab/>
      </w:r>
      <w:r>
        <w:rPr>
          <w:rFonts w:ascii="Times New Roman" w:hAnsi="Times New Roman" w:cs="Times New Roman"/>
          <w:sz w:val="20"/>
          <w:szCs w:val="20"/>
          <w:lang w:val="pt-PT"/>
        </w:rPr>
        <w:tab/>
      </w:r>
      <w:r>
        <w:rPr>
          <w:rFonts w:ascii="Times New Roman" w:hAnsi="Times New Roman" w:cs="Times New Roman"/>
          <w:sz w:val="20"/>
          <w:szCs w:val="20"/>
          <w:lang w:val="pt-PT"/>
        </w:rPr>
        <w:tab/>
      </w:r>
      <w:r>
        <w:rPr>
          <w:rFonts w:ascii="Times New Roman" w:hAnsi="Times New Roman" w:cs="Times New Roman"/>
          <w:sz w:val="20"/>
          <w:szCs w:val="20"/>
          <w:lang w:val="pt-PT"/>
        </w:rPr>
        <w:tab/>
      </w:r>
      <w:r>
        <w:rPr>
          <w:rFonts w:ascii="Times New Roman" w:hAnsi="Times New Roman" w:cs="Times New Roman"/>
          <w:sz w:val="20"/>
          <w:szCs w:val="20"/>
          <w:lang w:val="pt-PT"/>
        </w:rPr>
        <w:t xml:space="preserve">                  </w:t>
      </w:r>
      <w:r>
        <w:rPr>
          <w:rFonts w:ascii="Times New Roman" w:hAnsi="Times New Roman" w:cs="Times New Roman"/>
          <w:sz w:val="20"/>
          <w:szCs w:val="20"/>
          <w:lang w:val="pt-PT"/>
        </w:rPr>
        <w:t>505 (100)</w:t>
      </w:r>
    </w:p>
    <w:p w14:paraId="27E3257A" w14:textId="7BC602FF" w:rsidR="00E47EA4" w:rsidRDefault="00E47EA4" w:rsidP="00E47EA4">
      <w:pPr>
        <w:pStyle w:val="Normale1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686"/>
          <w:tab w:val="left" w:pos="3859"/>
          <w:tab w:val="left" w:pos="4480"/>
          <w:tab w:val="left" w:pos="5040"/>
          <w:tab w:val="left" w:pos="5600"/>
          <w:tab w:val="left" w:pos="6068"/>
          <w:tab w:val="left" w:pos="6379"/>
          <w:tab w:val="left" w:pos="6720"/>
        </w:tabs>
      </w:pPr>
      <w:r>
        <w:rPr>
          <w:rFonts w:ascii="Times New Roman" w:hAnsi="Times New Roman" w:cs="Times New Roman"/>
          <w:sz w:val="20"/>
          <w:szCs w:val="20"/>
          <w:lang w:val="pt-PT"/>
        </w:rPr>
        <w:t>DVT, n (%)</w:t>
      </w:r>
      <w:r>
        <w:rPr>
          <w:rFonts w:ascii="Times New Roman" w:hAnsi="Times New Roman" w:cs="Times New Roman"/>
          <w:sz w:val="20"/>
          <w:szCs w:val="20"/>
          <w:lang w:val="pt-PT"/>
        </w:rPr>
        <w:tab/>
      </w:r>
      <w:r>
        <w:rPr>
          <w:rFonts w:ascii="Times New Roman" w:hAnsi="Times New Roman" w:cs="Times New Roman"/>
          <w:sz w:val="20"/>
          <w:szCs w:val="20"/>
          <w:lang w:val="pt-PT"/>
        </w:rPr>
        <w:tab/>
      </w:r>
      <w:r>
        <w:rPr>
          <w:rFonts w:ascii="Times New Roman" w:hAnsi="Times New Roman" w:cs="Times New Roman"/>
          <w:sz w:val="20"/>
          <w:szCs w:val="20"/>
          <w:lang w:val="pt-PT"/>
        </w:rPr>
        <w:tab/>
      </w:r>
      <w:r>
        <w:rPr>
          <w:rFonts w:ascii="Times New Roman" w:hAnsi="Times New Roman" w:cs="Times New Roman"/>
          <w:sz w:val="20"/>
          <w:szCs w:val="20"/>
          <w:lang w:val="pt-PT"/>
        </w:rPr>
        <w:tab/>
        <w:t>56 (18.6)</w:t>
      </w:r>
      <w:r>
        <w:rPr>
          <w:rFonts w:ascii="Times New Roman" w:hAnsi="Times New Roman" w:cs="Times New Roman"/>
          <w:sz w:val="20"/>
          <w:szCs w:val="20"/>
          <w:lang w:val="pt-PT"/>
        </w:rPr>
        <w:tab/>
      </w:r>
      <w:r>
        <w:rPr>
          <w:rFonts w:ascii="Times New Roman" w:hAnsi="Times New Roman" w:cs="Times New Roman"/>
          <w:sz w:val="20"/>
          <w:szCs w:val="20"/>
          <w:lang w:val="pt-PT"/>
        </w:rPr>
        <w:tab/>
      </w:r>
      <w:r>
        <w:rPr>
          <w:rFonts w:ascii="Times New Roman" w:hAnsi="Times New Roman" w:cs="Times New Roman"/>
          <w:sz w:val="20"/>
          <w:szCs w:val="20"/>
          <w:lang w:val="pt-PT"/>
        </w:rPr>
        <w:tab/>
        <w:t>56 (27.5)</w:t>
      </w:r>
      <w:r>
        <w:rPr>
          <w:rFonts w:ascii="Times New Roman" w:hAnsi="Times New Roman" w:cs="Times New Roman"/>
          <w:sz w:val="20"/>
          <w:szCs w:val="20"/>
          <w:lang w:val="pt-PT"/>
        </w:rPr>
        <w:tab/>
      </w:r>
      <w:r>
        <w:rPr>
          <w:rFonts w:ascii="Times New Roman" w:hAnsi="Times New Roman" w:cs="Times New Roman"/>
          <w:sz w:val="20"/>
          <w:szCs w:val="20"/>
          <w:lang w:val="pt-PT"/>
        </w:rPr>
        <w:tab/>
      </w:r>
      <w:r>
        <w:rPr>
          <w:rFonts w:ascii="Times New Roman" w:hAnsi="Times New Roman" w:cs="Times New Roman"/>
          <w:sz w:val="20"/>
          <w:szCs w:val="20"/>
          <w:lang w:val="pt-PT"/>
        </w:rPr>
        <w:tab/>
        <w:t>0.019</w:t>
      </w:r>
      <w:r>
        <w:rPr>
          <w:rFonts w:ascii="Times New Roman" w:hAnsi="Times New Roman" w:cs="Times New Roman"/>
          <w:sz w:val="20"/>
          <w:szCs w:val="20"/>
          <w:lang w:val="pt-PT"/>
        </w:rPr>
        <w:tab/>
      </w:r>
      <w:r>
        <w:rPr>
          <w:rFonts w:ascii="Times New Roman" w:hAnsi="Times New Roman" w:cs="Times New Roman"/>
          <w:sz w:val="20"/>
          <w:szCs w:val="20"/>
          <w:lang w:val="pt-PT"/>
        </w:rPr>
        <w:tab/>
      </w:r>
      <w:r>
        <w:rPr>
          <w:rFonts w:ascii="Times New Roman" w:hAnsi="Times New Roman" w:cs="Times New Roman"/>
          <w:sz w:val="20"/>
          <w:szCs w:val="20"/>
          <w:lang w:val="pt-PT"/>
        </w:rPr>
        <w:t xml:space="preserve">   </w:t>
      </w:r>
      <w:r>
        <w:rPr>
          <w:rFonts w:ascii="Times New Roman" w:hAnsi="Times New Roman" w:cs="Times New Roman"/>
          <w:sz w:val="20"/>
          <w:szCs w:val="20"/>
          <w:lang w:val="pt-PT"/>
        </w:rPr>
        <w:t>112 (22.2)</w:t>
      </w:r>
    </w:p>
    <w:p w14:paraId="502192C9" w14:textId="6934446C" w:rsidR="00E47EA4" w:rsidRDefault="00E47EA4" w:rsidP="00E47EA4">
      <w:pPr>
        <w:pStyle w:val="Normale1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686"/>
          <w:tab w:val="left" w:pos="3859"/>
          <w:tab w:val="left" w:pos="4480"/>
          <w:tab w:val="left" w:pos="5040"/>
          <w:tab w:val="left" w:pos="5600"/>
          <w:tab w:val="left" w:pos="6068"/>
          <w:tab w:val="left" w:pos="6379"/>
          <w:tab w:val="left" w:pos="6720"/>
        </w:tabs>
      </w:pPr>
      <w:r>
        <w:rPr>
          <w:rFonts w:ascii="Times New Roman" w:hAnsi="Times New Roman" w:cs="Times New Roman"/>
          <w:sz w:val="20"/>
          <w:szCs w:val="20"/>
          <w:lang w:val="pt-PT"/>
        </w:rPr>
        <w:t>proximal DVT, n (%)</w:t>
      </w:r>
      <w:r>
        <w:rPr>
          <w:rFonts w:ascii="Times New Roman" w:hAnsi="Times New Roman" w:cs="Times New Roman"/>
          <w:sz w:val="20"/>
          <w:szCs w:val="20"/>
          <w:lang w:val="pt-PT"/>
        </w:rPr>
        <w:tab/>
      </w:r>
      <w:r>
        <w:rPr>
          <w:rFonts w:ascii="Times New Roman" w:hAnsi="Times New Roman" w:cs="Times New Roman"/>
          <w:sz w:val="20"/>
          <w:szCs w:val="20"/>
          <w:lang w:val="pt-PT"/>
        </w:rPr>
        <w:tab/>
        <w:t>21 (7.0)</w:t>
      </w:r>
      <w:r>
        <w:rPr>
          <w:rFonts w:ascii="Times New Roman" w:hAnsi="Times New Roman" w:cs="Times New Roman"/>
          <w:sz w:val="20"/>
          <w:szCs w:val="20"/>
          <w:lang w:val="pt-PT"/>
        </w:rPr>
        <w:tab/>
      </w:r>
      <w:r>
        <w:rPr>
          <w:rFonts w:ascii="Times New Roman" w:hAnsi="Times New Roman" w:cs="Times New Roman"/>
          <w:sz w:val="20"/>
          <w:szCs w:val="20"/>
          <w:lang w:val="pt-PT"/>
        </w:rPr>
        <w:tab/>
      </w:r>
      <w:r>
        <w:rPr>
          <w:rFonts w:ascii="Times New Roman" w:hAnsi="Times New Roman" w:cs="Times New Roman"/>
          <w:sz w:val="20"/>
          <w:szCs w:val="20"/>
          <w:lang w:val="pt-PT"/>
        </w:rPr>
        <w:tab/>
        <w:t>26 (12.7)</w:t>
      </w:r>
      <w:r>
        <w:rPr>
          <w:rFonts w:ascii="Times New Roman" w:hAnsi="Times New Roman" w:cs="Times New Roman"/>
          <w:sz w:val="20"/>
          <w:szCs w:val="20"/>
          <w:lang w:val="pt-PT"/>
        </w:rPr>
        <w:tab/>
      </w:r>
      <w:r>
        <w:rPr>
          <w:rFonts w:ascii="Times New Roman" w:hAnsi="Times New Roman" w:cs="Times New Roman"/>
          <w:sz w:val="20"/>
          <w:szCs w:val="20"/>
          <w:lang w:val="pt-PT"/>
        </w:rPr>
        <w:tab/>
      </w:r>
      <w:r>
        <w:rPr>
          <w:rFonts w:ascii="Times New Roman" w:hAnsi="Times New Roman" w:cs="Times New Roman"/>
          <w:sz w:val="20"/>
          <w:szCs w:val="20"/>
          <w:lang w:val="pt-PT"/>
        </w:rPr>
        <w:tab/>
        <w:t>0.029</w:t>
      </w:r>
      <w:r>
        <w:rPr>
          <w:rFonts w:ascii="Times New Roman" w:hAnsi="Times New Roman" w:cs="Times New Roman"/>
          <w:sz w:val="20"/>
          <w:szCs w:val="20"/>
          <w:lang w:val="pt-PT"/>
        </w:rPr>
        <w:tab/>
      </w:r>
      <w:r>
        <w:rPr>
          <w:rFonts w:ascii="Times New Roman" w:hAnsi="Times New Roman" w:cs="Times New Roman"/>
          <w:sz w:val="20"/>
          <w:szCs w:val="20"/>
          <w:lang w:val="pt-PT"/>
        </w:rPr>
        <w:tab/>
      </w:r>
      <w:r>
        <w:rPr>
          <w:rFonts w:ascii="Times New Roman" w:hAnsi="Times New Roman" w:cs="Times New Roman"/>
          <w:sz w:val="20"/>
          <w:szCs w:val="20"/>
          <w:lang w:val="pt-PT"/>
        </w:rPr>
        <w:t xml:space="preserve">  </w:t>
      </w:r>
      <w:r>
        <w:rPr>
          <w:rFonts w:ascii="Times New Roman" w:hAnsi="Times New Roman" w:cs="Times New Roman"/>
          <w:sz w:val="20"/>
          <w:szCs w:val="20"/>
          <w:lang w:val="pt-PT"/>
        </w:rPr>
        <w:t>47 (9.3)</w:t>
      </w:r>
    </w:p>
    <w:p w14:paraId="3308FE37" w14:textId="18BA9DFB" w:rsidR="00E47EA4" w:rsidRDefault="00E47EA4" w:rsidP="00E47EA4">
      <w:pPr>
        <w:pStyle w:val="Normale1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686"/>
          <w:tab w:val="left" w:pos="3859"/>
          <w:tab w:val="left" w:pos="4480"/>
          <w:tab w:val="left" w:pos="5040"/>
          <w:tab w:val="left" w:pos="5600"/>
          <w:tab w:val="left" w:pos="6068"/>
          <w:tab w:val="left" w:pos="6379"/>
          <w:tab w:val="left" w:pos="6720"/>
        </w:tabs>
      </w:pPr>
      <w:r>
        <w:rPr>
          <w:rFonts w:ascii="Times New Roman" w:hAnsi="Times New Roman" w:cs="Times New Roman"/>
          <w:sz w:val="20"/>
          <w:szCs w:val="20"/>
          <w:lang w:val="pt-PT"/>
        </w:rPr>
        <w:t>IDDVT, n (%)</w:t>
      </w:r>
      <w:r>
        <w:rPr>
          <w:rFonts w:ascii="Times New Roman" w:hAnsi="Times New Roman" w:cs="Times New Roman"/>
          <w:sz w:val="20"/>
          <w:szCs w:val="20"/>
          <w:lang w:val="pt-PT"/>
        </w:rPr>
        <w:tab/>
      </w:r>
      <w:r>
        <w:rPr>
          <w:rFonts w:ascii="Times New Roman" w:hAnsi="Times New Roman" w:cs="Times New Roman"/>
          <w:sz w:val="20"/>
          <w:szCs w:val="20"/>
          <w:lang w:val="pt-PT"/>
        </w:rPr>
        <w:tab/>
      </w:r>
      <w:r>
        <w:rPr>
          <w:rFonts w:ascii="Times New Roman" w:hAnsi="Times New Roman" w:cs="Times New Roman"/>
          <w:sz w:val="20"/>
          <w:szCs w:val="20"/>
          <w:lang w:val="pt-PT"/>
        </w:rPr>
        <w:tab/>
        <w:t>35 (11.6)</w:t>
      </w:r>
      <w:r>
        <w:rPr>
          <w:rFonts w:ascii="Times New Roman" w:hAnsi="Times New Roman" w:cs="Times New Roman"/>
          <w:sz w:val="20"/>
          <w:szCs w:val="20"/>
          <w:lang w:val="pt-PT"/>
        </w:rPr>
        <w:tab/>
      </w:r>
      <w:r>
        <w:rPr>
          <w:rFonts w:ascii="Times New Roman" w:hAnsi="Times New Roman" w:cs="Times New Roman"/>
          <w:sz w:val="20"/>
          <w:szCs w:val="20"/>
          <w:lang w:val="pt-PT"/>
        </w:rPr>
        <w:tab/>
      </w:r>
      <w:r>
        <w:rPr>
          <w:rFonts w:ascii="Times New Roman" w:hAnsi="Times New Roman" w:cs="Times New Roman"/>
          <w:sz w:val="20"/>
          <w:szCs w:val="20"/>
          <w:lang w:val="pt-PT"/>
        </w:rPr>
        <w:tab/>
        <w:t>30 (14.7)</w:t>
      </w:r>
      <w:r>
        <w:rPr>
          <w:rFonts w:ascii="Times New Roman" w:hAnsi="Times New Roman" w:cs="Times New Roman"/>
          <w:sz w:val="20"/>
          <w:szCs w:val="20"/>
          <w:lang w:val="pt-PT"/>
        </w:rPr>
        <w:tab/>
      </w:r>
      <w:r>
        <w:rPr>
          <w:rFonts w:ascii="Times New Roman" w:hAnsi="Times New Roman" w:cs="Times New Roman"/>
          <w:sz w:val="20"/>
          <w:szCs w:val="20"/>
          <w:lang w:val="pt-PT"/>
        </w:rPr>
        <w:tab/>
      </w:r>
      <w:r>
        <w:rPr>
          <w:rFonts w:ascii="Times New Roman" w:hAnsi="Times New Roman" w:cs="Times New Roman"/>
          <w:sz w:val="20"/>
          <w:szCs w:val="20"/>
          <w:lang w:val="pt-PT"/>
        </w:rPr>
        <w:tab/>
        <w:t>0.311</w:t>
      </w:r>
      <w:r>
        <w:rPr>
          <w:rFonts w:ascii="Times New Roman" w:hAnsi="Times New Roman" w:cs="Times New Roman"/>
          <w:sz w:val="20"/>
          <w:szCs w:val="20"/>
          <w:lang w:val="pt-PT"/>
        </w:rPr>
        <w:tab/>
      </w:r>
      <w:r>
        <w:rPr>
          <w:rFonts w:ascii="Times New Roman" w:hAnsi="Times New Roman" w:cs="Times New Roman"/>
          <w:sz w:val="20"/>
          <w:szCs w:val="20"/>
          <w:lang w:val="pt-PT"/>
        </w:rPr>
        <w:tab/>
      </w:r>
      <w:r>
        <w:rPr>
          <w:rFonts w:ascii="Times New Roman" w:hAnsi="Times New Roman" w:cs="Times New Roman"/>
          <w:sz w:val="20"/>
          <w:szCs w:val="20"/>
          <w:lang w:val="pt-PT"/>
        </w:rPr>
        <w:t xml:space="preserve">  </w:t>
      </w:r>
      <w:r>
        <w:rPr>
          <w:rFonts w:ascii="Times New Roman" w:hAnsi="Times New Roman" w:cs="Times New Roman"/>
          <w:sz w:val="20"/>
          <w:szCs w:val="20"/>
          <w:lang w:val="pt-PT"/>
        </w:rPr>
        <w:t>65 (12.9)</w:t>
      </w:r>
    </w:p>
    <w:p w14:paraId="7B0D4B9C" w14:textId="4A4B5337" w:rsidR="00E47EA4" w:rsidRDefault="00E47EA4" w:rsidP="00E47EA4">
      <w:pPr>
        <w:pStyle w:val="Normale1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686"/>
          <w:tab w:val="left" w:pos="3859"/>
          <w:tab w:val="left" w:pos="4480"/>
          <w:tab w:val="left" w:pos="5040"/>
          <w:tab w:val="left" w:pos="5600"/>
          <w:tab w:val="left" w:pos="6068"/>
          <w:tab w:val="left" w:pos="6379"/>
          <w:tab w:val="left" w:pos="6720"/>
        </w:tabs>
      </w:pPr>
      <w:r>
        <w:rPr>
          <w:rFonts w:ascii="Times New Roman" w:hAnsi="Times New Roman" w:cs="Times New Roman"/>
          <w:sz w:val="20"/>
          <w:szCs w:val="20"/>
          <w:lang w:val="pt-PT"/>
        </w:rPr>
        <w:t>Prophylaxix , n (%)</w:t>
      </w:r>
      <w:r>
        <w:rPr>
          <w:rFonts w:ascii="Times New Roman" w:hAnsi="Times New Roman" w:cs="Times New Roman"/>
          <w:sz w:val="20"/>
          <w:szCs w:val="20"/>
          <w:lang w:val="pt-PT"/>
        </w:rPr>
        <w:tab/>
      </w:r>
      <w:r>
        <w:rPr>
          <w:rFonts w:ascii="Times New Roman" w:hAnsi="Times New Roman" w:cs="Times New Roman"/>
          <w:sz w:val="20"/>
          <w:szCs w:val="20"/>
          <w:lang w:val="pt-PT"/>
        </w:rPr>
        <w:tab/>
      </w:r>
      <w:r>
        <w:rPr>
          <w:rFonts w:ascii="Times New Roman" w:hAnsi="Times New Roman" w:cs="Times New Roman"/>
          <w:sz w:val="20"/>
          <w:szCs w:val="20"/>
          <w:lang w:val="pt-PT"/>
        </w:rPr>
        <w:tab/>
        <w:t>163 (54.2)</w:t>
      </w:r>
      <w:r>
        <w:rPr>
          <w:rFonts w:ascii="Times New Roman" w:hAnsi="Times New Roman" w:cs="Times New Roman"/>
          <w:sz w:val="20"/>
          <w:szCs w:val="20"/>
          <w:lang w:val="pt-PT"/>
        </w:rPr>
        <w:tab/>
      </w:r>
      <w:r>
        <w:rPr>
          <w:rFonts w:ascii="Times New Roman" w:hAnsi="Times New Roman" w:cs="Times New Roman"/>
          <w:sz w:val="20"/>
          <w:szCs w:val="20"/>
          <w:lang w:val="pt-PT"/>
        </w:rPr>
        <w:tab/>
      </w:r>
      <w:r>
        <w:rPr>
          <w:rFonts w:ascii="Times New Roman" w:hAnsi="Times New Roman" w:cs="Times New Roman"/>
          <w:sz w:val="20"/>
          <w:szCs w:val="20"/>
          <w:lang w:val="pt-PT"/>
        </w:rPr>
        <w:tab/>
        <w:t>118 (57.8)</w:t>
      </w:r>
      <w:r>
        <w:rPr>
          <w:rFonts w:ascii="Times New Roman" w:hAnsi="Times New Roman" w:cs="Times New Roman"/>
          <w:sz w:val="20"/>
          <w:szCs w:val="20"/>
          <w:lang w:val="pt-PT"/>
        </w:rPr>
        <w:tab/>
      </w:r>
      <w:r>
        <w:rPr>
          <w:rFonts w:ascii="Times New Roman" w:hAnsi="Times New Roman" w:cs="Times New Roman"/>
          <w:sz w:val="20"/>
          <w:szCs w:val="20"/>
          <w:lang w:val="pt-PT"/>
        </w:rPr>
        <w:tab/>
      </w:r>
      <w:r>
        <w:rPr>
          <w:rFonts w:ascii="Times New Roman" w:hAnsi="Times New Roman" w:cs="Times New Roman"/>
          <w:sz w:val="20"/>
          <w:szCs w:val="20"/>
          <w:lang w:val="pt-PT"/>
        </w:rPr>
        <w:tab/>
        <w:t>0.413</w:t>
      </w:r>
      <w:r>
        <w:rPr>
          <w:rFonts w:ascii="Times New Roman" w:hAnsi="Times New Roman" w:cs="Times New Roman"/>
          <w:sz w:val="20"/>
          <w:szCs w:val="20"/>
          <w:lang w:val="pt-PT"/>
        </w:rPr>
        <w:tab/>
      </w:r>
      <w:r>
        <w:rPr>
          <w:rFonts w:ascii="Times New Roman" w:hAnsi="Times New Roman" w:cs="Times New Roman"/>
          <w:sz w:val="20"/>
          <w:szCs w:val="20"/>
          <w:lang w:val="pt-PT"/>
        </w:rPr>
        <w:tab/>
      </w:r>
      <w:r>
        <w:rPr>
          <w:rFonts w:ascii="Times New Roman" w:hAnsi="Times New Roman" w:cs="Times New Roman"/>
          <w:sz w:val="20"/>
          <w:szCs w:val="20"/>
          <w:lang w:val="pt-PT"/>
        </w:rPr>
        <w:t xml:space="preserve">  </w:t>
      </w:r>
      <w:r>
        <w:rPr>
          <w:rFonts w:ascii="Times New Roman" w:hAnsi="Times New Roman" w:cs="Times New Roman"/>
          <w:sz w:val="20"/>
          <w:szCs w:val="20"/>
          <w:lang w:val="pt-PT"/>
        </w:rPr>
        <w:t>281 (55.6)</w:t>
      </w:r>
    </w:p>
    <w:p w14:paraId="481A9263" w14:textId="77777777" w:rsidR="00E47EA4" w:rsidRDefault="00E47EA4" w:rsidP="00E47EA4">
      <w:pPr>
        <w:pStyle w:val="Normale1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686"/>
          <w:tab w:val="left" w:pos="3920"/>
          <w:tab w:val="left" w:pos="4480"/>
          <w:tab w:val="left" w:pos="5040"/>
          <w:tab w:val="left" w:pos="5600"/>
          <w:tab w:val="left" w:pos="6160"/>
          <w:tab w:val="left" w:pos="6379"/>
          <w:tab w:val="left" w:pos="6720"/>
        </w:tabs>
        <w:rPr>
          <w:rFonts w:ascii="Times New Roman" w:hAnsi="Times New Roman" w:cs="Times New Roman"/>
          <w:sz w:val="20"/>
          <w:szCs w:val="20"/>
        </w:rPr>
      </w:pPr>
    </w:p>
    <w:p w14:paraId="3E6EBD67" w14:textId="77777777" w:rsidR="00E47EA4" w:rsidRDefault="00E47EA4" w:rsidP="00E47EA4">
      <w:pPr>
        <w:pBdr>
          <w:top w:val="single" w:sz="1" w:space="1" w:color="000000"/>
          <w:left w:val="none" w:sz="0" w:space="0" w:color="000000"/>
          <w:bottom w:val="none" w:sz="0" w:space="0" w:color="000000"/>
          <w:right w:val="none" w:sz="0" w:space="0" w:color="000000"/>
        </w:pBdr>
        <w:tabs>
          <w:tab w:val="left" w:pos="7522"/>
        </w:tabs>
        <w:spacing w:line="360" w:lineRule="auto"/>
        <w:jc w:val="both"/>
      </w:pPr>
      <w:r>
        <w:rPr>
          <w:color w:val="000000"/>
          <w:sz w:val="20"/>
          <w:szCs w:val="20"/>
          <w:lang w:val="pt-PT"/>
        </w:rPr>
        <w:t>Chi-square test p-value.</w:t>
      </w:r>
      <w:r>
        <w:rPr>
          <w:bCs/>
          <w:color w:val="000000"/>
          <w:sz w:val="20"/>
          <w:szCs w:val="20"/>
          <w:lang w:val="pt-PT" w:eastAsia="it-IT"/>
        </w:rPr>
        <w:t xml:space="preserve"> </w:t>
      </w:r>
      <w:r>
        <w:rPr>
          <w:color w:val="000000"/>
          <w:sz w:val="20"/>
          <w:szCs w:val="20"/>
          <w:lang w:val="pt-PT"/>
        </w:rPr>
        <w:t>VTE, venous thromboembolism; DVT, lower extremity deep vein thrombosis; IDDVT isolated distal or calf DVT, PPS, Padua Prediction Score; Prophylaxix, pharmacologic thromboprophylaxis defined as the use of subcutaneous heparin calcium, 5000 U, 2 or 3 times daily, or subcutaneous enoxaparin sodium, 40mg/d, or subcutaneous fondaparinux, 1,5/2,5 mg/d</w:t>
      </w:r>
    </w:p>
    <w:p w14:paraId="3964DF4D" w14:textId="77777777" w:rsidR="00E47EA4" w:rsidRDefault="00E47EA4" w:rsidP="00E47EA4">
      <w:pPr>
        <w:pBdr>
          <w:top w:val="single" w:sz="1" w:space="1" w:color="000000"/>
          <w:left w:val="none" w:sz="0" w:space="0" w:color="000000"/>
          <w:bottom w:val="none" w:sz="0" w:space="0" w:color="000000"/>
          <w:right w:val="none" w:sz="0" w:space="0" w:color="000000"/>
        </w:pBdr>
        <w:tabs>
          <w:tab w:val="left" w:pos="7522"/>
        </w:tabs>
        <w:spacing w:line="360" w:lineRule="auto"/>
        <w:jc w:val="both"/>
        <w:rPr>
          <w:rFonts w:ascii="Caladea" w:hAnsi="Caladea" w:cs="Caladea"/>
          <w:lang w:val="pt-PT"/>
        </w:rPr>
      </w:pPr>
    </w:p>
    <w:p w14:paraId="6DD7605E" w14:textId="77777777" w:rsidR="00E47EA4" w:rsidRDefault="00E47EA4" w:rsidP="00E47EA4">
      <w:pPr>
        <w:pageBreakBefore/>
        <w:spacing w:line="360" w:lineRule="auto"/>
      </w:pPr>
      <w:r>
        <w:rPr>
          <w:rStyle w:val="Nessuno"/>
          <w:b/>
          <w:bCs/>
          <w:color w:val="000000"/>
          <w:u w:color="FF0000"/>
        </w:rPr>
        <w:lastRenderedPageBreak/>
        <w:t>Table 3</w:t>
      </w:r>
      <w:r>
        <w:rPr>
          <w:rStyle w:val="Nessuno"/>
          <w:color w:val="000000"/>
          <w:u w:color="00000A"/>
        </w:rPr>
        <w:t xml:space="preserve"> </w:t>
      </w:r>
      <w:r>
        <w:rPr>
          <w:rStyle w:val="Nessuno"/>
          <w:color w:val="000000"/>
          <w:u w:color="FF0000"/>
        </w:rPr>
        <w:t xml:space="preserve">Number of patients with lower extremity vein thrombosis at DUS according to the presence or absence of immobility and of pharmacological prophylaxis. </w:t>
      </w:r>
    </w:p>
    <w:p w14:paraId="7A98D65A" w14:textId="77777777" w:rsidR="00E47EA4" w:rsidRDefault="00E47EA4" w:rsidP="00E47EA4">
      <w:pPr>
        <w:spacing w:line="360" w:lineRule="auto"/>
      </w:pPr>
      <w:r>
        <w:rPr>
          <w:rStyle w:val="Nessuno"/>
          <w:color w:val="000000"/>
          <w:u w:color="FF0000"/>
        </w:rPr>
        <w:tab/>
      </w:r>
      <w:r>
        <w:rPr>
          <w:rStyle w:val="Nessuno"/>
          <w:color w:val="000000"/>
          <w:u w:color="FF0000"/>
        </w:rPr>
        <w:tab/>
      </w:r>
      <w:r>
        <w:rPr>
          <w:rStyle w:val="Nessuno"/>
          <w:color w:val="000000"/>
          <w:u w:color="FF0000"/>
        </w:rPr>
        <w:tab/>
      </w:r>
    </w:p>
    <w:p w14:paraId="54644397" w14:textId="77777777" w:rsidR="00E47EA4" w:rsidRDefault="00E47EA4" w:rsidP="00E47EA4">
      <w:pPr>
        <w:spacing w:line="360" w:lineRule="auto"/>
      </w:pPr>
      <w:r>
        <w:rPr>
          <w:rStyle w:val="Nessuno"/>
          <w:color w:val="000000"/>
          <w:u w:color="FF0000"/>
        </w:rPr>
        <w:t>PPS</w:t>
      </w:r>
      <w:r>
        <w:rPr>
          <w:rStyle w:val="Nessuno"/>
          <w:color w:val="000000"/>
          <w:u w:color="FF0000"/>
        </w:rPr>
        <w:tab/>
      </w:r>
      <w:r>
        <w:rPr>
          <w:rStyle w:val="Nessuno"/>
          <w:color w:val="000000"/>
          <w:u w:color="FF0000"/>
        </w:rPr>
        <w:tab/>
      </w:r>
      <w:r>
        <w:rPr>
          <w:rStyle w:val="Nessuno"/>
          <w:color w:val="000000"/>
          <w:u w:color="FF0000"/>
        </w:rPr>
        <w:tab/>
      </w:r>
      <w:r>
        <w:rPr>
          <w:rStyle w:val="Nessuno"/>
          <w:color w:val="000000"/>
          <w:u w:color="FF0000"/>
        </w:rPr>
        <w:tab/>
        <w:t>&lt;4 (low risk VTE)</w:t>
      </w:r>
      <w:r>
        <w:rPr>
          <w:rStyle w:val="Nessuno"/>
          <w:color w:val="000000"/>
          <w:u w:color="FF0000"/>
        </w:rPr>
        <w:tab/>
      </w:r>
      <w:r>
        <w:rPr>
          <w:rStyle w:val="Nessuno"/>
          <w:color w:val="000000"/>
          <w:u w:color="FF0000"/>
        </w:rPr>
        <w:tab/>
      </w:r>
      <w:r>
        <w:rPr>
          <w:rStyle w:val="Nessuno"/>
          <w:color w:val="000000"/>
          <w:u w:color="FF0000"/>
        </w:rPr>
        <w:tab/>
      </w:r>
      <w:r>
        <w:rPr>
          <w:rStyle w:val="Nessuno"/>
          <w:color w:val="000000"/>
          <w:u w:color="FF0000"/>
        </w:rPr>
        <w:tab/>
        <w:t xml:space="preserve"> </w:t>
      </w:r>
      <w:r>
        <w:rPr>
          <w:rStyle w:val="Nessuno"/>
          <w:color w:val="000000"/>
        </w:rPr>
        <w:t>≥</w:t>
      </w:r>
      <w:r>
        <w:rPr>
          <w:rStyle w:val="Nessuno"/>
          <w:color w:val="000000"/>
          <w:u w:color="FF0000"/>
        </w:rPr>
        <w:t>4 (high risk VTE)</w:t>
      </w:r>
    </w:p>
    <w:p w14:paraId="2581CC4D" w14:textId="77777777" w:rsidR="00E47EA4" w:rsidRDefault="00E47EA4" w:rsidP="00E47EA4">
      <w:pPr>
        <w:spacing w:line="360" w:lineRule="auto"/>
      </w:pPr>
      <w:r>
        <w:rPr>
          <w:rStyle w:val="Nessuno"/>
          <w:color w:val="000000"/>
          <w:u w:color="FF0000"/>
        </w:rPr>
        <w:tab/>
      </w:r>
      <w:r>
        <w:rPr>
          <w:rStyle w:val="Nessuno"/>
          <w:color w:val="000000"/>
          <w:u w:color="FF0000"/>
        </w:rPr>
        <w:tab/>
      </w:r>
      <w:r>
        <w:rPr>
          <w:rStyle w:val="Nessuno"/>
          <w:color w:val="000000"/>
          <w:u w:color="FF0000"/>
        </w:rPr>
        <w:tab/>
        <w:t>Prophylaxis -</w:t>
      </w:r>
      <w:r>
        <w:rPr>
          <w:rStyle w:val="Nessuno"/>
          <w:color w:val="000000"/>
          <w:u w:color="FF0000"/>
        </w:rPr>
        <w:tab/>
        <w:t>Prophylaxis +</w:t>
      </w:r>
      <w:r>
        <w:rPr>
          <w:rStyle w:val="Nessuno"/>
          <w:color w:val="000000"/>
          <w:u w:color="FF0000"/>
        </w:rPr>
        <w:tab/>
      </w:r>
      <w:r>
        <w:rPr>
          <w:rStyle w:val="Nessuno"/>
          <w:color w:val="000000"/>
          <w:u w:color="FF0000"/>
        </w:rPr>
        <w:tab/>
      </w:r>
      <w:r>
        <w:rPr>
          <w:rStyle w:val="Nessuno"/>
          <w:color w:val="000000"/>
          <w:u w:color="FF0000"/>
        </w:rPr>
        <w:tab/>
        <w:t>Prophylaxis -</w:t>
      </w:r>
      <w:r>
        <w:rPr>
          <w:rStyle w:val="Nessuno"/>
          <w:color w:val="000000"/>
          <w:u w:color="FF0000"/>
        </w:rPr>
        <w:tab/>
        <w:t>Prophylaxis +</w:t>
      </w:r>
      <w:r>
        <w:rPr>
          <w:rStyle w:val="Nessuno"/>
          <w:color w:val="000000"/>
          <w:u w:color="FF0000"/>
        </w:rPr>
        <w:tab/>
      </w:r>
      <w:r>
        <w:rPr>
          <w:rStyle w:val="Nessuno"/>
          <w:color w:val="000000"/>
          <w:u w:color="FF0000"/>
        </w:rPr>
        <w:tab/>
      </w:r>
    </w:p>
    <w:p w14:paraId="7F8774A5" w14:textId="77777777" w:rsidR="00E47EA4" w:rsidRDefault="00E47EA4" w:rsidP="00E47EA4">
      <w:pPr>
        <w:pBdr>
          <w:top w:val="single" w:sz="4" w:space="0" w:color="000001"/>
          <w:left w:val="none" w:sz="0" w:space="0" w:color="000000"/>
          <w:bottom w:val="none" w:sz="0" w:space="0" w:color="000000"/>
          <w:right w:val="none" w:sz="0" w:space="0" w:color="000000"/>
        </w:pBdr>
        <w:spacing w:line="360" w:lineRule="auto"/>
      </w:pPr>
      <w:r>
        <w:rPr>
          <w:rStyle w:val="Nessuno"/>
          <w:color w:val="000000"/>
          <w:u w:color="FF0000"/>
        </w:rPr>
        <w:t>DUS Negative</w:t>
      </w:r>
      <w:r>
        <w:rPr>
          <w:rStyle w:val="Nessuno"/>
          <w:color w:val="000000"/>
          <w:u w:color="FF0000"/>
        </w:rPr>
        <w:tab/>
      </w:r>
      <w:r>
        <w:rPr>
          <w:rStyle w:val="Nessuno"/>
          <w:color w:val="000000"/>
          <w:u w:color="FF0000"/>
        </w:rPr>
        <w:tab/>
        <w:t>111 (80.4)</w:t>
      </w:r>
      <w:r>
        <w:rPr>
          <w:rStyle w:val="Nessuno"/>
          <w:color w:val="000000"/>
          <w:u w:color="FF0000"/>
        </w:rPr>
        <w:tab/>
        <w:t>134 (82.2)</w:t>
      </w:r>
      <w:r>
        <w:rPr>
          <w:rStyle w:val="Nessuno"/>
          <w:color w:val="000000"/>
          <w:u w:color="FF0000"/>
        </w:rPr>
        <w:tab/>
      </w:r>
      <w:r>
        <w:rPr>
          <w:rStyle w:val="Nessuno"/>
          <w:color w:val="000000"/>
          <w:u w:color="FF0000"/>
        </w:rPr>
        <w:tab/>
      </w:r>
      <w:r>
        <w:rPr>
          <w:rStyle w:val="Nessuno"/>
          <w:color w:val="000000"/>
          <w:u w:color="FF0000"/>
        </w:rPr>
        <w:tab/>
        <w:t>60 (69.8)</w:t>
      </w:r>
      <w:r>
        <w:rPr>
          <w:rStyle w:val="Nessuno"/>
          <w:color w:val="000000"/>
          <w:u w:color="FF0000"/>
        </w:rPr>
        <w:tab/>
        <w:t>88 (74.6)</w:t>
      </w:r>
    </w:p>
    <w:p w14:paraId="0A92D382" w14:textId="77777777" w:rsidR="00E47EA4" w:rsidRDefault="00E47EA4" w:rsidP="00E47EA4">
      <w:pPr>
        <w:spacing w:line="360" w:lineRule="auto"/>
      </w:pPr>
      <w:r>
        <w:rPr>
          <w:rStyle w:val="Nessuno"/>
          <w:color w:val="000000"/>
          <w:u w:color="FF0000"/>
        </w:rPr>
        <w:t xml:space="preserve">IDDVT+ </w:t>
      </w:r>
      <w:r>
        <w:rPr>
          <w:rStyle w:val="Nessuno"/>
          <w:color w:val="000000"/>
          <w:u w:color="FF0000"/>
        </w:rPr>
        <w:tab/>
      </w:r>
      <w:r>
        <w:rPr>
          <w:rStyle w:val="Nessuno"/>
          <w:color w:val="000000"/>
          <w:u w:color="FF0000"/>
        </w:rPr>
        <w:tab/>
        <w:t>16 (11.6)</w:t>
      </w:r>
      <w:r>
        <w:rPr>
          <w:rStyle w:val="Nessuno"/>
          <w:color w:val="000000"/>
          <w:u w:color="FF0000"/>
        </w:rPr>
        <w:tab/>
        <w:t>19 (11.7)</w:t>
      </w:r>
      <w:r>
        <w:rPr>
          <w:rStyle w:val="Nessuno"/>
          <w:color w:val="000000"/>
          <w:u w:color="FF0000"/>
        </w:rPr>
        <w:tab/>
      </w:r>
      <w:r>
        <w:rPr>
          <w:rStyle w:val="Nessuno"/>
          <w:color w:val="000000"/>
          <w:u w:color="FF0000"/>
        </w:rPr>
        <w:tab/>
      </w:r>
      <w:r>
        <w:rPr>
          <w:rStyle w:val="Nessuno"/>
          <w:color w:val="000000"/>
          <w:u w:color="FF0000"/>
        </w:rPr>
        <w:tab/>
        <w:t>16 (18.6)</w:t>
      </w:r>
      <w:r>
        <w:rPr>
          <w:rStyle w:val="Nessuno"/>
          <w:color w:val="000000"/>
          <w:u w:color="FF0000"/>
        </w:rPr>
        <w:tab/>
        <w:t>14 (11.9)</w:t>
      </w:r>
    </w:p>
    <w:p w14:paraId="3DC8D58E" w14:textId="77777777" w:rsidR="00E47EA4" w:rsidRDefault="00E47EA4" w:rsidP="00E47EA4">
      <w:pPr>
        <w:spacing w:line="360" w:lineRule="auto"/>
      </w:pPr>
      <w:r>
        <w:rPr>
          <w:rStyle w:val="Nessuno"/>
          <w:color w:val="000000"/>
          <w:u w:color="FF0000"/>
        </w:rPr>
        <w:t>DVT +</w:t>
      </w:r>
      <w:r>
        <w:rPr>
          <w:rStyle w:val="Nessuno"/>
          <w:color w:val="000000"/>
          <w:u w:color="FF0000"/>
        </w:rPr>
        <w:tab/>
      </w:r>
      <w:r>
        <w:rPr>
          <w:rStyle w:val="Nessuno"/>
          <w:color w:val="000000"/>
          <w:u w:color="FF0000"/>
        </w:rPr>
        <w:tab/>
      </w:r>
      <w:r>
        <w:rPr>
          <w:rStyle w:val="Nessuno"/>
          <w:color w:val="000000"/>
          <w:u w:color="FF0000"/>
        </w:rPr>
        <w:tab/>
        <w:t>11 (8.0)</w:t>
      </w:r>
      <w:r>
        <w:rPr>
          <w:rStyle w:val="Nessuno"/>
          <w:color w:val="000000"/>
          <w:u w:color="FF0000"/>
        </w:rPr>
        <w:tab/>
        <w:t>10 (6.1)</w:t>
      </w:r>
      <w:r>
        <w:rPr>
          <w:rStyle w:val="Nessuno"/>
          <w:color w:val="000000"/>
          <w:u w:color="FF0000"/>
        </w:rPr>
        <w:tab/>
      </w:r>
      <w:r>
        <w:rPr>
          <w:rStyle w:val="Nessuno"/>
          <w:color w:val="000000"/>
          <w:u w:color="FF0000"/>
        </w:rPr>
        <w:tab/>
      </w:r>
      <w:r>
        <w:rPr>
          <w:rStyle w:val="Nessuno"/>
          <w:color w:val="000000"/>
          <w:u w:color="FF0000"/>
        </w:rPr>
        <w:tab/>
        <w:t>10 (11.6)</w:t>
      </w:r>
      <w:r>
        <w:rPr>
          <w:rStyle w:val="Nessuno"/>
          <w:color w:val="000000"/>
          <w:u w:color="FF0000"/>
        </w:rPr>
        <w:tab/>
        <w:t>16 (13.6)</w:t>
      </w:r>
    </w:p>
    <w:p w14:paraId="5CB56C52" w14:textId="77777777" w:rsidR="00E47EA4" w:rsidRDefault="00E47EA4" w:rsidP="00E47EA4">
      <w:pPr>
        <w:pBdr>
          <w:top w:val="single" w:sz="4" w:space="0" w:color="000001"/>
          <w:left w:val="none" w:sz="0" w:space="0" w:color="000000"/>
          <w:bottom w:val="single" w:sz="4" w:space="0" w:color="000001"/>
          <w:right w:val="none" w:sz="0" w:space="0" w:color="000000"/>
        </w:pBdr>
        <w:spacing w:line="480" w:lineRule="auto"/>
      </w:pPr>
      <w:r>
        <w:rPr>
          <w:rStyle w:val="Nessuno"/>
          <w:color w:val="000000"/>
          <w:u w:color="FF0000"/>
        </w:rPr>
        <w:t>Total DVT</w:t>
      </w:r>
      <w:r>
        <w:rPr>
          <w:rStyle w:val="Nessuno"/>
          <w:color w:val="000000"/>
          <w:u w:color="FF0000"/>
        </w:rPr>
        <w:tab/>
      </w:r>
      <w:r>
        <w:rPr>
          <w:rStyle w:val="Nessuno"/>
          <w:color w:val="000000"/>
          <w:u w:color="FF0000"/>
        </w:rPr>
        <w:tab/>
        <w:t>27 (19.6)</w:t>
      </w:r>
      <w:r>
        <w:rPr>
          <w:rStyle w:val="Nessuno"/>
          <w:color w:val="000000"/>
          <w:u w:color="FF0000"/>
        </w:rPr>
        <w:tab/>
        <w:t>29 (17.8)</w:t>
      </w:r>
      <w:r>
        <w:rPr>
          <w:rStyle w:val="Nessuno"/>
          <w:color w:val="000000"/>
          <w:u w:color="FF0000"/>
        </w:rPr>
        <w:tab/>
      </w:r>
      <w:r>
        <w:rPr>
          <w:rStyle w:val="Nessuno"/>
          <w:color w:val="000000"/>
          <w:u w:color="FF0000"/>
        </w:rPr>
        <w:tab/>
      </w:r>
      <w:r>
        <w:rPr>
          <w:rStyle w:val="Nessuno"/>
          <w:color w:val="000000"/>
          <w:u w:color="FF0000"/>
        </w:rPr>
        <w:tab/>
        <w:t>26 (30.2)</w:t>
      </w:r>
      <w:r>
        <w:rPr>
          <w:rStyle w:val="Nessuno"/>
          <w:color w:val="000000"/>
          <w:u w:color="FF0000"/>
        </w:rPr>
        <w:tab/>
        <w:t>30 (25.5)</w:t>
      </w:r>
      <w:r>
        <w:rPr>
          <w:rStyle w:val="Nessuno"/>
          <w:color w:val="000000"/>
          <w:u w:color="FF0000"/>
        </w:rPr>
        <w:tab/>
        <w:t xml:space="preserve">     </w:t>
      </w:r>
    </w:p>
    <w:p w14:paraId="3709676C" w14:textId="77777777" w:rsidR="00E47EA4" w:rsidRDefault="00E47EA4" w:rsidP="00E47EA4">
      <w:pPr>
        <w:pBdr>
          <w:top w:val="single" w:sz="1" w:space="1" w:color="000000"/>
          <w:left w:val="none" w:sz="0" w:space="0" w:color="000000"/>
          <w:bottom w:val="none" w:sz="0" w:space="0" w:color="000000"/>
          <w:right w:val="none" w:sz="0" w:space="0" w:color="000000"/>
        </w:pBdr>
        <w:tabs>
          <w:tab w:val="left" w:pos="7522"/>
        </w:tabs>
        <w:spacing w:line="480" w:lineRule="auto"/>
        <w:jc w:val="both"/>
      </w:pPr>
      <w:r>
        <w:rPr>
          <w:rStyle w:val="Nessuno"/>
          <w:color w:val="000000"/>
          <w:sz w:val="20"/>
          <w:szCs w:val="20"/>
          <w:u w:color="FF0000"/>
          <w:lang w:val="pt-PT"/>
        </w:rPr>
        <w:t>Data are presented as number (percentage). DUS, whole leg duplex ultrasound; DVT, proximal deep vein thrombosis; IDDVT, isolated distal deep vein thrombosis. PPS, Padua Prediction Score; Prophylaxis +, use of subcutaneous heparin calcium, 5000 IU, 2 or 3 times daily, or subcutaneous enoxaparin sodium, 40 mg/day, or subcutaneous fondaparinux, 1,5/2,5 mg/day.</w:t>
      </w:r>
    </w:p>
    <w:p w14:paraId="2CE43FAF" w14:textId="77777777" w:rsidR="00110104" w:rsidRDefault="00110104"/>
    <w:sectPr w:rsidR="0011010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adea">
    <w:altName w:val="Cambria"/>
    <w:charset w:val="01"/>
    <w:family w:val="roman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7EA4"/>
    <w:rsid w:val="00110104"/>
    <w:rsid w:val="0021090F"/>
    <w:rsid w:val="00220E4E"/>
    <w:rsid w:val="003A76DF"/>
    <w:rsid w:val="00C52827"/>
    <w:rsid w:val="00DB1091"/>
    <w:rsid w:val="00E47EA4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BFDAC0"/>
  <w15:chartTrackingRefBased/>
  <w15:docId w15:val="{2E500EA7-2BED-4A82-8318-A6321D370C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7EA4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zh-C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Nessuno">
    <w:name w:val="Nessuno"/>
    <w:rsid w:val="00E47EA4"/>
  </w:style>
  <w:style w:type="paragraph" w:customStyle="1" w:styleId="Normale1">
    <w:name w:val="Normale1"/>
    <w:rsid w:val="00E47EA4"/>
    <w:pPr>
      <w:suppressAutoHyphens/>
      <w:spacing w:line="252" w:lineRule="auto"/>
    </w:pPr>
    <w:rPr>
      <w:rFonts w:ascii="Calibri" w:eastAsia="Calibri" w:hAnsi="Calibri" w:cs="Calibri"/>
      <w:color w:val="000000"/>
      <w:kern w:val="0"/>
      <w:lang w:val="it-IT" w:eastAsia="zh-CN"/>
      <w14:ligatures w14:val="none"/>
    </w:rPr>
  </w:style>
  <w:style w:type="paragraph" w:customStyle="1" w:styleId="Corpodeltesto31">
    <w:name w:val="Corpo del testo 31"/>
    <w:rsid w:val="00E47EA4"/>
    <w:pPr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suppressAutoHyphens/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427</Words>
  <Characters>2437</Characters>
  <Application>Microsoft Office Word</Application>
  <DocSecurity>0</DocSecurity>
  <Lines>20</Lines>
  <Paragraphs>5</Paragraphs>
  <ScaleCrop>false</ScaleCrop>
  <Company>Springer Nature</Company>
  <LinksUpToDate>false</LinksUpToDate>
  <CharactersWithSpaces>2859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2024-05-06T15:03:00Z</dcterms:created>
  <dcterms:modified xsi:type="dcterms:W3CDTF">2024-05-06T15:05:00Z</dcterms:modified>
</cp:coreProperties>
</file>