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35D87A" w14:textId="77777777" w:rsidR="00CB1A72" w:rsidRDefault="00CB1A72" w:rsidP="00CB1A72">
      <w:pPr>
        <w:pStyle w:val="EndNoteBibliography"/>
        <w:rPr>
          <w:rFonts w:ascii="Times New Roman" w:hAnsi="Times New Roman" w:cs="Times New Roman"/>
          <w:sz w:val="24"/>
          <w:szCs w:val="24"/>
        </w:rPr>
      </w:pPr>
    </w:p>
    <w:p w14:paraId="31BE9D15" w14:textId="77777777" w:rsidR="00CB1A72" w:rsidRPr="008162BE" w:rsidRDefault="00CB1A72" w:rsidP="00CB1A72">
      <w:pPr>
        <w:pStyle w:val="EndNoteBibliography"/>
        <w:rPr>
          <w:rFonts w:ascii="Times New Roman" w:hAnsi="Times New Roman" w:cs="Times New Roman"/>
          <w:b/>
          <w:bCs/>
          <w:sz w:val="24"/>
          <w:szCs w:val="24"/>
        </w:rPr>
      </w:pPr>
      <w:r w:rsidRPr="008162BE">
        <w:rPr>
          <w:rFonts w:ascii="Times New Roman" w:hAnsi="Times New Roman" w:cs="Times New Roman"/>
          <w:b/>
          <w:bCs/>
          <w:sz w:val="24"/>
          <w:szCs w:val="24"/>
        </w:rPr>
        <w:t>Supplemental Data Table 2.  Other Genetic Conditions Scoring 100 or above in Data Review</w:t>
      </w:r>
    </w:p>
    <w:p w14:paraId="789D0385" w14:textId="77777777" w:rsidR="00CB1A72" w:rsidRPr="00903C39" w:rsidRDefault="00CB1A72" w:rsidP="00CB1A72">
      <w:pPr>
        <w:pStyle w:val="EndNoteBibliography"/>
        <w:rPr>
          <w:rFonts w:ascii="Times New Roman" w:hAnsi="Times New Roman" w:cs="Times New Roman"/>
          <w:sz w:val="24"/>
          <w:szCs w:val="24"/>
        </w:rPr>
      </w:pPr>
    </w:p>
    <w:tbl>
      <w:tblPr>
        <w:tblW w:w="7733" w:type="dxa"/>
        <w:tblLook w:val="04A0" w:firstRow="1" w:lastRow="0" w:firstColumn="1" w:lastColumn="0" w:noHBand="0" w:noVBand="1"/>
      </w:tblPr>
      <w:tblGrid>
        <w:gridCol w:w="7733"/>
      </w:tblGrid>
      <w:tr w:rsidR="00CB1A72" w:rsidRPr="00F6484B" w14:paraId="60D346B5" w14:textId="77777777" w:rsidTr="009D755E">
        <w:trPr>
          <w:trHeight w:val="580"/>
        </w:trPr>
        <w:tc>
          <w:tcPr>
            <w:tcW w:w="7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A9CFDCD" w14:textId="77777777" w:rsidR="00CB1A72" w:rsidRPr="00DB3247" w:rsidRDefault="00CB1A72" w:rsidP="009D755E">
            <w:pPr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</w:pPr>
            <w:r w:rsidRPr="00DB3247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Becker muscular dystrophy</w:t>
            </w:r>
          </w:p>
          <w:p w14:paraId="33C17E4F" w14:textId="77777777" w:rsidR="00CB1A72" w:rsidRPr="00DB3247" w:rsidRDefault="00CB1A72" w:rsidP="009D755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B3247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Bethlem</w:t>
            </w:r>
            <w:proofErr w:type="spellEnd"/>
            <w:r w:rsidRPr="00DB3247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 xml:space="preserve"> myopathy</w:t>
            </w:r>
            <w:r w:rsidRPr="00DB32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14:paraId="21177890" w14:textId="77777777" w:rsidR="00CB1A72" w:rsidRPr="00DB3247" w:rsidRDefault="00CB1A72" w:rsidP="009D755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648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Charcot-Marie-Tooth disease</w:t>
            </w:r>
          </w:p>
          <w:p w14:paraId="1C78FA51" w14:textId="77777777" w:rsidR="00CB1A72" w:rsidRPr="00DB3247" w:rsidRDefault="00CB1A72" w:rsidP="009D755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32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Duchenne muscular dystrophy</w:t>
            </w:r>
          </w:p>
          <w:p w14:paraId="6827AC45" w14:textId="77777777" w:rsidR="00CB1A72" w:rsidRPr="00DB3247" w:rsidRDefault="00CB1A72" w:rsidP="009D755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32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Emery Dreifuss muscular dystrophy</w:t>
            </w:r>
          </w:p>
          <w:p w14:paraId="5508D1C5" w14:textId="77777777" w:rsidR="00CB1A72" w:rsidRPr="00DB3247" w:rsidRDefault="00CB1A72" w:rsidP="009D755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648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facioscapulohumeral muscular dystrophy</w:t>
            </w:r>
          </w:p>
          <w:p w14:paraId="4E645253" w14:textId="77777777" w:rsidR="00CB1A72" w:rsidRPr="00DB3247" w:rsidRDefault="00CB1A72" w:rsidP="009D755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32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glycogen storage disease type 1A</w:t>
            </w:r>
          </w:p>
          <w:p w14:paraId="79B7193C" w14:textId="77777777" w:rsidR="00CB1A72" w:rsidRPr="00DB3247" w:rsidRDefault="00CB1A72" w:rsidP="009D755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32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limb-girdle muscular dystrophy types 1B, 1D, 2A, 2B, 2I, 2T</w:t>
            </w:r>
          </w:p>
          <w:p w14:paraId="004FFFE6" w14:textId="77777777" w:rsidR="00CB1A72" w:rsidRPr="00DB3247" w:rsidRDefault="00CB1A72" w:rsidP="009D755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648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Miyoshi muscular dystrophy</w:t>
            </w:r>
          </w:p>
          <w:p w14:paraId="1818B9A7" w14:textId="77777777" w:rsidR="00CB1A72" w:rsidRPr="00DB3247" w:rsidRDefault="00CB1A72" w:rsidP="009D755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648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myoadenylate deaminase deficiency</w:t>
            </w:r>
          </w:p>
          <w:p w14:paraId="0796FDC3" w14:textId="77777777" w:rsidR="00CB1A72" w:rsidRPr="00DB3247" w:rsidRDefault="00CB1A72" w:rsidP="009D755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32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myotonic dystrophy</w:t>
            </w:r>
          </w:p>
          <w:p w14:paraId="4691C543" w14:textId="77777777" w:rsidR="00CB1A72" w:rsidRPr="00DB3247" w:rsidRDefault="00CB1A72" w:rsidP="009D755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648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oculopharyngodistal</w:t>
            </w:r>
            <w:proofErr w:type="spellEnd"/>
            <w:r w:rsidRPr="00F648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myopathy</w:t>
            </w:r>
          </w:p>
          <w:p w14:paraId="614979CE" w14:textId="77777777" w:rsidR="00CB1A72" w:rsidRPr="00DB3247" w:rsidRDefault="00CB1A72" w:rsidP="009D755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B32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spinal muscular atrophy types II and III</w:t>
            </w:r>
          </w:p>
          <w:p w14:paraId="5AD2B76A" w14:textId="77777777" w:rsidR="00CB1A72" w:rsidRPr="00F6484B" w:rsidRDefault="00CB1A72" w:rsidP="009D755E">
            <w:pPr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B1A72" w:rsidRPr="00F6484B" w14:paraId="22518257" w14:textId="77777777" w:rsidTr="009D755E">
        <w:trPr>
          <w:trHeight w:val="290"/>
        </w:trPr>
        <w:tc>
          <w:tcPr>
            <w:tcW w:w="77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C687E" w14:textId="77777777" w:rsidR="00CB1A72" w:rsidRPr="00F6484B" w:rsidRDefault="00CB1A72" w:rsidP="009D755E">
            <w:pPr>
              <w:rPr>
                <w:rFonts w:ascii="Calibri" w:eastAsia="Times New Roman" w:hAnsi="Calibri" w:cs="Calibri"/>
                <w:color w:val="000000"/>
              </w:rPr>
            </w:pPr>
          </w:p>
        </w:tc>
      </w:tr>
    </w:tbl>
    <w:p w14:paraId="50322B91" w14:textId="77777777" w:rsidR="00CB1A72" w:rsidRDefault="00CB1A72"/>
    <w:sectPr w:rsidR="00CB1A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1A72"/>
    <w:rsid w:val="00BE515D"/>
    <w:rsid w:val="00CB1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89C99D"/>
  <w15:chartTrackingRefBased/>
  <w15:docId w15:val="{7CF51596-A29D-4660-9962-BF66F719F0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1A72"/>
    <w:pPr>
      <w:spacing w:after="0" w:line="240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B1A7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B1A7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B1A72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B1A72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B1A72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B1A72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B1A72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B1A72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B1A72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B1A7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B1A7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B1A7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B1A7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B1A7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B1A7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B1A7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B1A7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B1A7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B1A7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B1A7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B1A72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B1A7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B1A72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B1A7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B1A72"/>
    <w:pPr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B1A7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B1A7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B1A7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B1A72"/>
    <w:rPr>
      <w:b/>
      <w:bCs/>
      <w:smallCaps/>
      <w:color w:val="0F4761" w:themeColor="accent1" w:themeShade="BF"/>
      <w:spacing w:val="5"/>
    </w:rPr>
  </w:style>
  <w:style w:type="paragraph" w:customStyle="1" w:styleId="EndNoteBibliography">
    <w:name w:val="EndNote Bibliography"/>
    <w:basedOn w:val="Normal"/>
    <w:link w:val="EndNoteBibliographyChar"/>
    <w:rsid w:val="00CB1A72"/>
    <w:rPr>
      <w:rFonts w:ascii="Calibri" w:hAnsi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CB1A72"/>
    <w:rPr>
      <w:rFonts w:ascii="Calibri" w:hAnsi="Calibri"/>
      <w:noProof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76</Words>
  <Characters>436</Characters>
  <Application>Microsoft Office Word</Application>
  <DocSecurity>0</DocSecurity>
  <Lines>3</Lines>
  <Paragraphs>1</Paragraphs>
  <ScaleCrop>false</ScaleCrop>
  <Company/>
  <LinksUpToDate>false</LinksUpToDate>
  <CharactersWithSpaces>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Laney, Dawn A</dc:creator>
  <cp:keywords/>
  <dc:description/>
  <cp:lastModifiedBy>Laney, Dawn A</cp:lastModifiedBy>
  <cp:revision>2</cp:revision>
  <dcterms:created xsi:type="dcterms:W3CDTF">2024-04-25T17:10:00Z</dcterms:created>
  <dcterms:modified xsi:type="dcterms:W3CDTF">2024-04-25T17:10:00Z</dcterms:modified>
</cp:coreProperties>
</file>