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2DD0E" w14:textId="3820BA89" w:rsidR="002271A0" w:rsidRPr="00C219C5" w:rsidRDefault="0031119B" w:rsidP="00C219C5">
      <w:pPr>
        <w:spacing w:after="0" w:line="240" w:lineRule="auto"/>
        <w:jc w:val="center"/>
        <w:rPr>
          <w:rFonts w:ascii="Calibri" w:eastAsia="Times New Roman" w:hAnsi="Calibri" w:cs="Calibri"/>
          <w:b/>
          <w:bCs/>
          <w:color w:val="000000"/>
          <w:sz w:val="24"/>
          <w:szCs w:val="24"/>
        </w:rPr>
      </w:pPr>
      <w:r w:rsidRPr="00C219C5">
        <w:rPr>
          <w:rFonts w:ascii="Calibri" w:eastAsia="Times New Roman" w:hAnsi="Calibri" w:cs="Calibri"/>
          <w:b/>
          <w:bCs/>
          <w:color w:val="000000"/>
          <w:sz w:val="24"/>
          <w:szCs w:val="24"/>
        </w:rPr>
        <w:t xml:space="preserve">Table 1: Summary </w:t>
      </w:r>
      <w:r w:rsidR="00C219C5">
        <w:rPr>
          <w:rFonts w:ascii="Calibri" w:eastAsia="Times New Roman" w:hAnsi="Calibri" w:cs="Calibri"/>
          <w:b/>
          <w:bCs/>
          <w:color w:val="000000"/>
          <w:sz w:val="24"/>
          <w:szCs w:val="24"/>
        </w:rPr>
        <w:t xml:space="preserve">table </w:t>
      </w:r>
      <w:r w:rsidRPr="00C219C5">
        <w:rPr>
          <w:rFonts w:ascii="Calibri" w:eastAsia="Times New Roman" w:hAnsi="Calibri" w:cs="Calibri"/>
          <w:b/>
          <w:bCs/>
          <w:color w:val="000000"/>
          <w:sz w:val="24"/>
          <w:szCs w:val="24"/>
        </w:rPr>
        <w:t>of included studies.</w:t>
      </w:r>
    </w:p>
    <w:tbl>
      <w:tblPr>
        <w:tblW w:w="0" w:type="auto"/>
        <w:tblInd w:w="-545" w:type="dxa"/>
        <w:tblLook w:val="04A0" w:firstRow="1" w:lastRow="0" w:firstColumn="1" w:lastColumn="0" w:noHBand="0" w:noVBand="1"/>
      </w:tblPr>
      <w:tblGrid>
        <w:gridCol w:w="2010"/>
        <w:gridCol w:w="1684"/>
        <w:gridCol w:w="1114"/>
        <w:gridCol w:w="1110"/>
        <w:gridCol w:w="952"/>
        <w:gridCol w:w="9929"/>
        <w:gridCol w:w="1438"/>
        <w:gridCol w:w="5338"/>
      </w:tblGrid>
      <w:tr w:rsidR="0031119B" w:rsidRPr="0031119B" w14:paraId="1199EBB9" w14:textId="77777777" w:rsidTr="0031119B">
        <w:trPr>
          <w:trHeight w:val="2760"/>
        </w:trPr>
        <w:tc>
          <w:tcPr>
            <w:tcW w:w="2010" w:type="dxa"/>
            <w:tcBorders>
              <w:top w:val="single" w:sz="4" w:space="0" w:color="auto"/>
              <w:left w:val="single" w:sz="4" w:space="0" w:color="auto"/>
              <w:bottom w:val="single" w:sz="4" w:space="0" w:color="auto"/>
              <w:right w:val="single" w:sz="4" w:space="0" w:color="auto"/>
            </w:tcBorders>
            <w:shd w:val="clear" w:color="CFE2F3" w:fill="CFE2F3"/>
            <w:vAlign w:val="center"/>
            <w:hideMark/>
          </w:tcPr>
          <w:p w14:paraId="1FFC69EE" w14:textId="77777777" w:rsidR="0031119B" w:rsidRPr="0031119B" w:rsidRDefault="0031119B" w:rsidP="00A35E70">
            <w:pPr>
              <w:spacing w:after="0" w:line="240" w:lineRule="auto"/>
              <w:jc w:val="center"/>
              <w:rPr>
                <w:rFonts w:ascii="Calibri" w:eastAsia="Times New Roman" w:hAnsi="Calibri" w:cs="Calibri"/>
                <w:b/>
                <w:bCs/>
                <w:color w:val="000000"/>
                <w:sz w:val="24"/>
                <w:szCs w:val="24"/>
              </w:rPr>
            </w:pPr>
            <w:r w:rsidRPr="0031119B">
              <w:rPr>
                <w:rFonts w:ascii="Calibri" w:eastAsia="Times New Roman" w:hAnsi="Calibri" w:cs="Calibri"/>
                <w:b/>
                <w:bCs/>
                <w:color w:val="000000"/>
                <w:sz w:val="24"/>
                <w:szCs w:val="24"/>
              </w:rPr>
              <w:t>Study ID</w:t>
            </w:r>
          </w:p>
        </w:tc>
        <w:tc>
          <w:tcPr>
            <w:tcW w:w="1684" w:type="dxa"/>
            <w:tcBorders>
              <w:top w:val="single" w:sz="4" w:space="0" w:color="auto"/>
              <w:left w:val="nil"/>
              <w:bottom w:val="single" w:sz="4" w:space="0" w:color="auto"/>
              <w:right w:val="single" w:sz="4" w:space="0" w:color="auto"/>
            </w:tcBorders>
            <w:shd w:val="clear" w:color="CFE2F3" w:fill="CFE2F3"/>
            <w:vAlign w:val="center"/>
            <w:hideMark/>
          </w:tcPr>
          <w:p w14:paraId="3178A46E" w14:textId="77777777" w:rsidR="0031119B" w:rsidRPr="0031119B" w:rsidRDefault="0031119B" w:rsidP="00A35E70">
            <w:pPr>
              <w:spacing w:after="0" w:line="240" w:lineRule="auto"/>
              <w:jc w:val="center"/>
              <w:rPr>
                <w:rFonts w:ascii="Calibri" w:eastAsia="Times New Roman" w:hAnsi="Calibri" w:cs="Calibri"/>
                <w:b/>
                <w:bCs/>
                <w:color w:val="000000"/>
                <w:sz w:val="24"/>
                <w:szCs w:val="24"/>
              </w:rPr>
            </w:pPr>
            <w:r w:rsidRPr="0031119B">
              <w:rPr>
                <w:rFonts w:ascii="Calibri" w:eastAsia="Times New Roman" w:hAnsi="Calibri" w:cs="Calibri"/>
                <w:b/>
                <w:bCs/>
                <w:color w:val="000000"/>
                <w:sz w:val="24"/>
                <w:szCs w:val="24"/>
              </w:rPr>
              <w:t>Study design</w:t>
            </w:r>
          </w:p>
        </w:tc>
        <w:tc>
          <w:tcPr>
            <w:tcW w:w="1114" w:type="dxa"/>
            <w:tcBorders>
              <w:top w:val="single" w:sz="4" w:space="0" w:color="auto"/>
              <w:left w:val="nil"/>
              <w:bottom w:val="single" w:sz="4" w:space="0" w:color="auto"/>
              <w:right w:val="single" w:sz="4" w:space="0" w:color="auto"/>
            </w:tcBorders>
            <w:shd w:val="clear" w:color="CFE2F3" w:fill="CFE2F3"/>
            <w:vAlign w:val="center"/>
            <w:hideMark/>
          </w:tcPr>
          <w:p w14:paraId="7C48E90C" w14:textId="77777777" w:rsidR="0031119B" w:rsidRPr="0031119B" w:rsidRDefault="0031119B" w:rsidP="00A35E70">
            <w:pPr>
              <w:spacing w:after="0" w:line="240" w:lineRule="auto"/>
              <w:jc w:val="center"/>
              <w:rPr>
                <w:rFonts w:ascii="Calibri" w:eastAsia="Times New Roman" w:hAnsi="Calibri" w:cs="Calibri"/>
                <w:b/>
                <w:bCs/>
                <w:color w:val="000000"/>
                <w:sz w:val="24"/>
                <w:szCs w:val="24"/>
              </w:rPr>
            </w:pPr>
            <w:r w:rsidRPr="0031119B">
              <w:rPr>
                <w:rFonts w:ascii="Calibri" w:eastAsia="Times New Roman" w:hAnsi="Calibri" w:cs="Calibri"/>
                <w:b/>
                <w:bCs/>
                <w:color w:val="000000"/>
                <w:sz w:val="24"/>
                <w:szCs w:val="24"/>
              </w:rPr>
              <w:t>Study Period</w:t>
            </w:r>
          </w:p>
        </w:tc>
        <w:tc>
          <w:tcPr>
            <w:tcW w:w="0" w:type="auto"/>
            <w:tcBorders>
              <w:top w:val="single" w:sz="4" w:space="0" w:color="auto"/>
              <w:left w:val="nil"/>
              <w:bottom w:val="single" w:sz="4" w:space="0" w:color="auto"/>
              <w:right w:val="single" w:sz="4" w:space="0" w:color="auto"/>
            </w:tcBorders>
            <w:shd w:val="clear" w:color="CFE2F3" w:fill="CFE2F3"/>
            <w:vAlign w:val="center"/>
            <w:hideMark/>
          </w:tcPr>
          <w:p w14:paraId="14217071" w14:textId="77777777" w:rsidR="0031119B" w:rsidRPr="0031119B" w:rsidRDefault="0031119B" w:rsidP="00A35E70">
            <w:pPr>
              <w:spacing w:after="0" w:line="240" w:lineRule="auto"/>
              <w:jc w:val="center"/>
              <w:rPr>
                <w:rFonts w:ascii="Calibri" w:eastAsia="Times New Roman" w:hAnsi="Calibri" w:cs="Calibri"/>
                <w:b/>
                <w:bCs/>
                <w:color w:val="000000"/>
                <w:sz w:val="24"/>
                <w:szCs w:val="24"/>
              </w:rPr>
            </w:pPr>
            <w:r w:rsidRPr="0031119B">
              <w:rPr>
                <w:rFonts w:ascii="Calibri" w:eastAsia="Times New Roman" w:hAnsi="Calibri" w:cs="Calibri"/>
                <w:b/>
                <w:bCs/>
                <w:color w:val="000000"/>
                <w:sz w:val="24"/>
                <w:szCs w:val="24"/>
              </w:rPr>
              <w:t>Country</w:t>
            </w:r>
          </w:p>
        </w:tc>
        <w:tc>
          <w:tcPr>
            <w:tcW w:w="952" w:type="dxa"/>
            <w:tcBorders>
              <w:top w:val="single" w:sz="4" w:space="0" w:color="auto"/>
              <w:left w:val="nil"/>
              <w:bottom w:val="single" w:sz="4" w:space="0" w:color="auto"/>
              <w:right w:val="single" w:sz="4" w:space="0" w:color="auto"/>
            </w:tcBorders>
            <w:shd w:val="clear" w:color="CFE2F3" w:fill="CFE2F3"/>
            <w:vAlign w:val="center"/>
            <w:hideMark/>
          </w:tcPr>
          <w:p w14:paraId="61E354EC" w14:textId="77777777" w:rsidR="0031119B" w:rsidRPr="0031119B" w:rsidRDefault="0031119B" w:rsidP="00A35E70">
            <w:pPr>
              <w:spacing w:after="0" w:line="240" w:lineRule="auto"/>
              <w:jc w:val="center"/>
              <w:rPr>
                <w:rFonts w:ascii="Calibri" w:eastAsia="Times New Roman" w:hAnsi="Calibri" w:cs="Calibri"/>
                <w:b/>
                <w:bCs/>
                <w:color w:val="000000"/>
                <w:sz w:val="24"/>
                <w:szCs w:val="24"/>
              </w:rPr>
            </w:pPr>
            <w:r w:rsidRPr="0031119B">
              <w:rPr>
                <w:rFonts w:ascii="Calibri" w:eastAsia="Times New Roman" w:hAnsi="Calibri" w:cs="Calibri"/>
                <w:b/>
                <w:bCs/>
                <w:color w:val="000000"/>
                <w:sz w:val="24"/>
                <w:szCs w:val="24"/>
              </w:rPr>
              <w:t>Sample size</w:t>
            </w:r>
          </w:p>
        </w:tc>
        <w:tc>
          <w:tcPr>
            <w:tcW w:w="9929" w:type="dxa"/>
            <w:tcBorders>
              <w:top w:val="single" w:sz="4" w:space="0" w:color="auto"/>
              <w:left w:val="nil"/>
              <w:bottom w:val="single" w:sz="4" w:space="0" w:color="auto"/>
              <w:right w:val="single" w:sz="4" w:space="0" w:color="auto"/>
            </w:tcBorders>
            <w:shd w:val="clear" w:color="CFE2F3" w:fill="CFE2F3"/>
            <w:vAlign w:val="center"/>
            <w:hideMark/>
          </w:tcPr>
          <w:p w14:paraId="693DD293" w14:textId="77777777" w:rsidR="0031119B" w:rsidRPr="0031119B" w:rsidRDefault="0031119B" w:rsidP="00A35E70">
            <w:pPr>
              <w:spacing w:after="0" w:line="240" w:lineRule="auto"/>
              <w:jc w:val="center"/>
              <w:rPr>
                <w:rFonts w:ascii="Arial" w:eastAsia="Times New Roman" w:hAnsi="Arial" w:cs="Arial"/>
                <w:b/>
                <w:bCs/>
                <w:color w:val="000000"/>
                <w:sz w:val="24"/>
                <w:szCs w:val="24"/>
              </w:rPr>
            </w:pPr>
            <w:r w:rsidRPr="0031119B">
              <w:rPr>
                <w:rFonts w:ascii="Arial" w:eastAsia="Times New Roman" w:hAnsi="Arial" w:cs="Arial"/>
                <w:b/>
                <w:bCs/>
                <w:color w:val="000000"/>
                <w:sz w:val="24"/>
                <w:szCs w:val="24"/>
              </w:rPr>
              <w:t>Inclusion Criteria</w:t>
            </w:r>
          </w:p>
        </w:tc>
        <w:tc>
          <w:tcPr>
            <w:tcW w:w="0" w:type="auto"/>
            <w:tcBorders>
              <w:top w:val="single" w:sz="4" w:space="0" w:color="auto"/>
              <w:left w:val="nil"/>
              <w:bottom w:val="single" w:sz="4" w:space="0" w:color="auto"/>
              <w:right w:val="single" w:sz="4" w:space="0" w:color="auto"/>
            </w:tcBorders>
            <w:shd w:val="clear" w:color="CFE2F3" w:fill="CFE2F3"/>
            <w:vAlign w:val="center"/>
            <w:hideMark/>
          </w:tcPr>
          <w:p w14:paraId="03C44060" w14:textId="77777777" w:rsidR="0031119B" w:rsidRPr="0031119B" w:rsidRDefault="0031119B" w:rsidP="00A35E70">
            <w:pPr>
              <w:spacing w:after="0" w:line="240" w:lineRule="auto"/>
              <w:jc w:val="center"/>
              <w:rPr>
                <w:rFonts w:ascii="Arial" w:eastAsia="Times New Roman" w:hAnsi="Arial" w:cs="Arial"/>
                <w:b/>
                <w:bCs/>
                <w:color w:val="000000"/>
                <w:sz w:val="24"/>
                <w:szCs w:val="24"/>
              </w:rPr>
            </w:pPr>
            <w:r w:rsidRPr="0031119B">
              <w:rPr>
                <w:rFonts w:ascii="Arial" w:eastAsia="Times New Roman" w:hAnsi="Arial" w:cs="Arial"/>
                <w:b/>
                <w:bCs/>
                <w:color w:val="000000"/>
                <w:sz w:val="24"/>
                <w:szCs w:val="24"/>
              </w:rPr>
              <w:t xml:space="preserve">Exposure groups </w:t>
            </w:r>
            <w:r w:rsidRPr="0031119B">
              <w:rPr>
                <w:rFonts w:ascii="Arial" w:eastAsia="Times New Roman" w:hAnsi="Arial" w:cs="Arial"/>
                <w:b/>
                <w:bCs/>
                <w:color w:val="000000"/>
                <w:sz w:val="24"/>
                <w:szCs w:val="24"/>
              </w:rPr>
              <w:br/>
              <w:t>(MPE, SMPE, NMPE)</w:t>
            </w:r>
          </w:p>
        </w:tc>
        <w:tc>
          <w:tcPr>
            <w:tcW w:w="0" w:type="auto"/>
            <w:tcBorders>
              <w:top w:val="single" w:sz="4" w:space="0" w:color="auto"/>
              <w:left w:val="nil"/>
              <w:bottom w:val="single" w:sz="4" w:space="0" w:color="auto"/>
              <w:right w:val="single" w:sz="4" w:space="0" w:color="auto"/>
            </w:tcBorders>
            <w:shd w:val="clear" w:color="CFE2F3" w:fill="CFE2F3"/>
            <w:vAlign w:val="center"/>
            <w:hideMark/>
          </w:tcPr>
          <w:p w14:paraId="1AE656BA" w14:textId="77777777" w:rsidR="0031119B" w:rsidRPr="0031119B" w:rsidRDefault="0031119B" w:rsidP="00A35E70">
            <w:pPr>
              <w:spacing w:after="0" w:line="240" w:lineRule="auto"/>
              <w:jc w:val="center"/>
              <w:rPr>
                <w:rFonts w:ascii="Arial" w:eastAsia="Times New Roman" w:hAnsi="Arial" w:cs="Arial"/>
                <w:b/>
                <w:bCs/>
                <w:color w:val="000000"/>
                <w:sz w:val="24"/>
                <w:szCs w:val="24"/>
              </w:rPr>
            </w:pPr>
            <w:r w:rsidRPr="0031119B">
              <w:rPr>
                <w:rFonts w:ascii="Arial" w:eastAsia="Times New Roman" w:hAnsi="Arial" w:cs="Arial"/>
                <w:b/>
                <w:bCs/>
                <w:color w:val="000000"/>
                <w:sz w:val="24"/>
                <w:szCs w:val="24"/>
              </w:rPr>
              <w:t>Main finding(s) of the study</w:t>
            </w:r>
          </w:p>
        </w:tc>
      </w:tr>
      <w:tr w:rsidR="0031119B" w:rsidRPr="0031119B" w14:paraId="56CB4AAC" w14:textId="77777777" w:rsidTr="0031119B">
        <w:trPr>
          <w:trHeight w:val="2760"/>
        </w:trPr>
        <w:tc>
          <w:tcPr>
            <w:tcW w:w="2010" w:type="dxa"/>
            <w:tcBorders>
              <w:top w:val="nil"/>
              <w:left w:val="single" w:sz="4" w:space="0" w:color="auto"/>
              <w:bottom w:val="single" w:sz="4" w:space="0" w:color="auto"/>
              <w:right w:val="single" w:sz="4" w:space="0" w:color="auto"/>
            </w:tcBorders>
            <w:shd w:val="clear" w:color="CFE2F3" w:fill="CFE2F3"/>
            <w:vAlign w:val="center"/>
            <w:hideMark/>
          </w:tcPr>
          <w:p w14:paraId="58F4DCFD"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Bragança et al., 2021</w:t>
            </w:r>
          </w:p>
        </w:tc>
        <w:tc>
          <w:tcPr>
            <w:tcW w:w="1684" w:type="dxa"/>
            <w:tcBorders>
              <w:top w:val="nil"/>
              <w:left w:val="nil"/>
              <w:bottom w:val="single" w:sz="4" w:space="0" w:color="auto"/>
              <w:right w:val="single" w:sz="4" w:space="0" w:color="auto"/>
            </w:tcBorders>
            <w:shd w:val="clear" w:color="auto" w:fill="auto"/>
            <w:vAlign w:val="center"/>
            <w:hideMark/>
          </w:tcPr>
          <w:p w14:paraId="44CECC5F"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Retrospective cohort</w:t>
            </w:r>
          </w:p>
        </w:tc>
        <w:tc>
          <w:tcPr>
            <w:tcW w:w="1114" w:type="dxa"/>
            <w:tcBorders>
              <w:top w:val="nil"/>
              <w:left w:val="nil"/>
              <w:bottom w:val="single" w:sz="4" w:space="0" w:color="auto"/>
              <w:right w:val="single" w:sz="4" w:space="0" w:color="auto"/>
            </w:tcBorders>
            <w:shd w:val="clear" w:color="auto" w:fill="auto"/>
            <w:vAlign w:val="center"/>
            <w:hideMark/>
          </w:tcPr>
          <w:p w14:paraId="4C833905"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2008-2020</w:t>
            </w:r>
          </w:p>
        </w:tc>
        <w:tc>
          <w:tcPr>
            <w:tcW w:w="0" w:type="auto"/>
            <w:tcBorders>
              <w:top w:val="nil"/>
              <w:left w:val="nil"/>
              <w:bottom w:val="single" w:sz="4" w:space="0" w:color="auto"/>
              <w:right w:val="single" w:sz="4" w:space="0" w:color="auto"/>
            </w:tcBorders>
            <w:shd w:val="clear" w:color="auto" w:fill="auto"/>
            <w:vAlign w:val="center"/>
            <w:hideMark/>
          </w:tcPr>
          <w:p w14:paraId="612F4CDB"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Portugal</w:t>
            </w:r>
          </w:p>
        </w:tc>
        <w:tc>
          <w:tcPr>
            <w:tcW w:w="952" w:type="dxa"/>
            <w:tcBorders>
              <w:top w:val="nil"/>
              <w:left w:val="nil"/>
              <w:bottom w:val="single" w:sz="4" w:space="0" w:color="auto"/>
              <w:right w:val="single" w:sz="4" w:space="0" w:color="auto"/>
            </w:tcBorders>
            <w:shd w:val="clear" w:color="auto" w:fill="auto"/>
            <w:vAlign w:val="center"/>
            <w:hideMark/>
          </w:tcPr>
          <w:p w14:paraId="6EA457CE"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29</w:t>
            </w:r>
          </w:p>
        </w:tc>
        <w:tc>
          <w:tcPr>
            <w:tcW w:w="9929" w:type="dxa"/>
            <w:tcBorders>
              <w:top w:val="nil"/>
              <w:left w:val="nil"/>
              <w:bottom w:val="single" w:sz="4" w:space="0" w:color="auto"/>
              <w:right w:val="single" w:sz="4" w:space="0" w:color="auto"/>
            </w:tcBorders>
            <w:shd w:val="clear" w:color="auto" w:fill="auto"/>
            <w:vAlign w:val="center"/>
            <w:hideMark/>
          </w:tcPr>
          <w:p w14:paraId="31C96968" w14:textId="2403669E"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Patient selection was firstly achieved searching the discharge diagnostic code “415.1</w:t>
            </w:r>
            <w:r w:rsidRPr="0031119B">
              <w:rPr>
                <w:rFonts w:ascii="Cambria Math" w:eastAsia="Times New Roman" w:hAnsi="Cambria Math" w:cs="Cambria Math"/>
                <w:color w:val="000000"/>
                <w:sz w:val="24"/>
                <w:szCs w:val="24"/>
              </w:rPr>
              <w:t>‐</w:t>
            </w:r>
            <w:r w:rsidRPr="0031119B">
              <w:rPr>
                <w:rFonts w:ascii="Arial" w:eastAsia="Times New Roman" w:hAnsi="Arial" w:cs="Arial"/>
                <w:color w:val="000000"/>
                <w:sz w:val="24"/>
                <w:szCs w:val="24"/>
              </w:rPr>
              <w:t>Pulmonary Embolism and infarction” (ICD</w:t>
            </w:r>
            <w:r w:rsidRPr="0031119B">
              <w:rPr>
                <w:rFonts w:ascii="Cambria Math" w:eastAsia="Times New Roman" w:hAnsi="Cambria Math" w:cs="Cambria Math"/>
                <w:color w:val="000000"/>
                <w:sz w:val="24"/>
                <w:szCs w:val="24"/>
              </w:rPr>
              <w:t>‐</w:t>
            </w:r>
            <w:r w:rsidRPr="0031119B">
              <w:rPr>
                <w:rFonts w:ascii="Arial" w:eastAsia="Times New Roman" w:hAnsi="Arial" w:cs="Arial"/>
                <w:color w:val="000000"/>
                <w:sz w:val="24"/>
                <w:szCs w:val="24"/>
              </w:rPr>
              <w:t>9</w:t>
            </w:r>
            <w:proofErr w:type="gramStart"/>
            <w:r w:rsidRPr="0031119B">
              <w:rPr>
                <w:rFonts w:ascii="Arial" w:eastAsia="Times New Roman" w:hAnsi="Arial" w:cs="Arial"/>
                <w:color w:val="000000"/>
                <w:sz w:val="24"/>
                <w:szCs w:val="24"/>
              </w:rPr>
              <w:t>CM)in</w:t>
            </w:r>
            <w:proofErr w:type="gramEnd"/>
            <w:r w:rsidRPr="0031119B">
              <w:rPr>
                <w:rFonts w:ascii="Arial" w:eastAsia="Times New Roman" w:hAnsi="Arial" w:cs="Arial"/>
                <w:color w:val="000000"/>
                <w:sz w:val="24"/>
                <w:szCs w:val="24"/>
              </w:rPr>
              <w:t xml:space="preserve"> an administrative database of all patients with a length of stay longer that 24h in the Pediatric Department, or in its Intensive Care Unit. Radiological reports were subsequently reviewed, to guarantee that the diagnosis was correct. No patients were excluded in this step.</w:t>
            </w:r>
          </w:p>
        </w:tc>
        <w:tc>
          <w:tcPr>
            <w:tcW w:w="0" w:type="auto"/>
            <w:tcBorders>
              <w:top w:val="nil"/>
              <w:left w:val="nil"/>
              <w:bottom w:val="single" w:sz="4" w:space="0" w:color="auto"/>
              <w:right w:val="single" w:sz="4" w:space="0" w:color="auto"/>
            </w:tcBorders>
            <w:shd w:val="clear" w:color="auto" w:fill="auto"/>
            <w:vAlign w:val="center"/>
            <w:hideMark/>
          </w:tcPr>
          <w:p w14:paraId="16DD8018"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MPE, SMPE, NMPE</w:t>
            </w:r>
          </w:p>
        </w:tc>
        <w:tc>
          <w:tcPr>
            <w:tcW w:w="0" w:type="auto"/>
            <w:tcBorders>
              <w:top w:val="nil"/>
              <w:left w:val="nil"/>
              <w:bottom w:val="single" w:sz="4" w:space="0" w:color="auto"/>
              <w:right w:val="single" w:sz="4" w:space="0" w:color="auto"/>
            </w:tcBorders>
            <w:shd w:val="clear" w:color="auto" w:fill="auto"/>
            <w:vAlign w:val="center"/>
            <w:hideMark/>
          </w:tcPr>
          <w:p w14:paraId="4A87CCDE"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Risk factors included contraceptives (65%), thrombophilia (35%), obesity (20%) and autoimmunity (20%). Eight inpatients, diagnosed during cardiorespiratory deterioration (n =5), or through incidental radiological findings (n=3), were younger and had immobilization (87.5%), complex chronic diseases (75%), infections (75%) and central venous catheter (62.5%) as risk factors.</w:t>
            </w:r>
          </w:p>
        </w:tc>
      </w:tr>
      <w:tr w:rsidR="0031119B" w:rsidRPr="0031119B" w14:paraId="31A7A267" w14:textId="77777777" w:rsidTr="0031119B">
        <w:trPr>
          <w:trHeight w:val="2760"/>
        </w:trPr>
        <w:tc>
          <w:tcPr>
            <w:tcW w:w="2010" w:type="dxa"/>
            <w:tcBorders>
              <w:top w:val="nil"/>
              <w:left w:val="single" w:sz="4" w:space="0" w:color="auto"/>
              <w:bottom w:val="single" w:sz="4" w:space="0" w:color="auto"/>
              <w:right w:val="single" w:sz="4" w:space="0" w:color="auto"/>
            </w:tcBorders>
            <w:shd w:val="clear" w:color="CFE2F3" w:fill="CFE2F3"/>
            <w:vAlign w:val="center"/>
            <w:hideMark/>
          </w:tcPr>
          <w:p w14:paraId="4FFC8326"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Ross et al., 2020</w:t>
            </w:r>
          </w:p>
        </w:tc>
        <w:tc>
          <w:tcPr>
            <w:tcW w:w="1684" w:type="dxa"/>
            <w:tcBorders>
              <w:top w:val="nil"/>
              <w:left w:val="nil"/>
              <w:bottom w:val="single" w:sz="4" w:space="0" w:color="auto"/>
              <w:right w:val="single" w:sz="4" w:space="0" w:color="auto"/>
            </w:tcBorders>
            <w:shd w:val="clear" w:color="auto" w:fill="auto"/>
            <w:vAlign w:val="center"/>
            <w:hideMark/>
          </w:tcPr>
          <w:p w14:paraId="25401A67"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Retrospective cohort</w:t>
            </w:r>
          </w:p>
        </w:tc>
        <w:tc>
          <w:tcPr>
            <w:tcW w:w="1114" w:type="dxa"/>
            <w:tcBorders>
              <w:top w:val="nil"/>
              <w:left w:val="nil"/>
              <w:bottom w:val="single" w:sz="4" w:space="0" w:color="auto"/>
              <w:right w:val="single" w:sz="4" w:space="0" w:color="auto"/>
            </w:tcBorders>
            <w:shd w:val="clear" w:color="auto" w:fill="auto"/>
            <w:vAlign w:val="center"/>
            <w:hideMark/>
          </w:tcPr>
          <w:p w14:paraId="2741B3D7"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1997-2019</w:t>
            </w:r>
          </w:p>
        </w:tc>
        <w:tc>
          <w:tcPr>
            <w:tcW w:w="0" w:type="auto"/>
            <w:tcBorders>
              <w:top w:val="nil"/>
              <w:left w:val="nil"/>
              <w:bottom w:val="single" w:sz="4" w:space="0" w:color="auto"/>
              <w:right w:val="single" w:sz="4" w:space="0" w:color="auto"/>
            </w:tcBorders>
            <w:shd w:val="clear" w:color="auto" w:fill="auto"/>
            <w:vAlign w:val="center"/>
            <w:hideMark/>
          </w:tcPr>
          <w:p w14:paraId="1E9D1174"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USA</w:t>
            </w:r>
          </w:p>
        </w:tc>
        <w:tc>
          <w:tcPr>
            <w:tcW w:w="952" w:type="dxa"/>
            <w:tcBorders>
              <w:top w:val="nil"/>
              <w:left w:val="nil"/>
              <w:bottom w:val="single" w:sz="4" w:space="0" w:color="auto"/>
              <w:right w:val="single" w:sz="4" w:space="0" w:color="auto"/>
            </w:tcBorders>
            <w:shd w:val="clear" w:color="auto" w:fill="auto"/>
            <w:vAlign w:val="center"/>
            <w:hideMark/>
          </w:tcPr>
          <w:p w14:paraId="0AB35A86"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33</w:t>
            </w:r>
          </w:p>
        </w:tc>
        <w:tc>
          <w:tcPr>
            <w:tcW w:w="9929" w:type="dxa"/>
            <w:tcBorders>
              <w:top w:val="nil"/>
              <w:left w:val="nil"/>
              <w:bottom w:val="single" w:sz="4" w:space="0" w:color="auto"/>
              <w:right w:val="single" w:sz="4" w:space="0" w:color="auto"/>
            </w:tcBorders>
            <w:shd w:val="clear" w:color="auto" w:fill="auto"/>
            <w:vAlign w:val="center"/>
            <w:hideMark/>
          </w:tcPr>
          <w:p w14:paraId="1DA46FD1" w14:textId="31849431"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Patients ,19 years old with MPE or SMPE acutely managed at the institution were included. Patients with Glenn or Fontan procedures were excluded. All PEs were confirmed by computed tomography angiogram, fluoroscopic pulmonary angiogram, ventilation and/or perfusion scan, or autopsy. Cases were identified from the electronic medical record and autopsy reports by key word searches between January 1, 1997, and June 30, 2019.</w:t>
            </w:r>
          </w:p>
        </w:tc>
        <w:tc>
          <w:tcPr>
            <w:tcW w:w="0" w:type="auto"/>
            <w:tcBorders>
              <w:top w:val="nil"/>
              <w:left w:val="nil"/>
              <w:bottom w:val="single" w:sz="4" w:space="0" w:color="auto"/>
              <w:right w:val="single" w:sz="4" w:space="0" w:color="auto"/>
            </w:tcBorders>
            <w:shd w:val="clear" w:color="auto" w:fill="auto"/>
            <w:vAlign w:val="center"/>
            <w:hideMark/>
          </w:tcPr>
          <w:p w14:paraId="4862740D"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MPE, SMPE</w:t>
            </w:r>
          </w:p>
        </w:tc>
        <w:tc>
          <w:tcPr>
            <w:tcW w:w="0" w:type="auto"/>
            <w:tcBorders>
              <w:top w:val="nil"/>
              <w:left w:val="nil"/>
              <w:bottom w:val="single" w:sz="4" w:space="0" w:color="auto"/>
              <w:right w:val="single" w:sz="4" w:space="0" w:color="auto"/>
            </w:tcBorders>
            <w:shd w:val="clear" w:color="auto" w:fill="auto"/>
            <w:vAlign w:val="center"/>
            <w:hideMark/>
          </w:tcPr>
          <w:p w14:paraId="040AE95F"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 xml:space="preserve">The most commonly identified risk factor was use of oral contraceptive pills in 16 (49%) patients. Six (18%) patients died, 3 (9%) of which were PE-related deaths. Before PE, patients with MPE were more likely to be hospitalized (89% vs 13%, </w:t>
            </w:r>
            <w:proofErr w:type="gramStart"/>
            <w:r w:rsidRPr="0031119B">
              <w:rPr>
                <w:rFonts w:ascii="Arial" w:eastAsia="Times New Roman" w:hAnsi="Arial" w:cs="Arial"/>
                <w:color w:val="000000"/>
                <w:sz w:val="24"/>
                <w:szCs w:val="24"/>
              </w:rPr>
              <w:t>P ,</w:t>
            </w:r>
            <w:proofErr w:type="gramEnd"/>
            <w:r w:rsidRPr="0031119B">
              <w:rPr>
                <w:rFonts w:ascii="Arial" w:eastAsia="Times New Roman" w:hAnsi="Arial" w:cs="Arial"/>
                <w:color w:val="000000"/>
                <w:sz w:val="24"/>
                <w:szCs w:val="24"/>
              </w:rPr>
              <w:t xml:space="preserve"> .001), have major comorbidities (89% vs 25%, P 5 .002), central venous catheters (67% vs 17%, P 5 .01), critical illness(56%vs8%,P 5 .009), immobility (67% vs 13%, P 5 .005), and be postoperative (44% vs 4%, P 5 .01). MPE patients were also more likely to die before discharge (56% vs 4%, P 5 .003). Both groups were equally likely to have primary reperfusion attempts (78% of MPE versus 67% of SMPE, P 5.69).</w:t>
            </w:r>
          </w:p>
        </w:tc>
      </w:tr>
      <w:tr w:rsidR="0031119B" w:rsidRPr="0031119B" w14:paraId="79B7454E" w14:textId="77777777" w:rsidTr="0031119B">
        <w:trPr>
          <w:trHeight w:val="2760"/>
        </w:trPr>
        <w:tc>
          <w:tcPr>
            <w:tcW w:w="2010" w:type="dxa"/>
            <w:tcBorders>
              <w:top w:val="nil"/>
              <w:left w:val="single" w:sz="4" w:space="0" w:color="auto"/>
              <w:bottom w:val="single" w:sz="4" w:space="0" w:color="auto"/>
              <w:right w:val="single" w:sz="4" w:space="0" w:color="auto"/>
            </w:tcBorders>
            <w:shd w:val="clear" w:color="CFE2F3" w:fill="CFE2F3"/>
            <w:vAlign w:val="center"/>
            <w:hideMark/>
          </w:tcPr>
          <w:p w14:paraId="070E0870"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 xml:space="preserve"> Pelland-Marcotte et al., 2019</w:t>
            </w:r>
          </w:p>
        </w:tc>
        <w:tc>
          <w:tcPr>
            <w:tcW w:w="1684" w:type="dxa"/>
            <w:tcBorders>
              <w:top w:val="nil"/>
              <w:left w:val="nil"/>
              <w:bottom w:val="single" w:sz="4" w:space="0" w:color="auto"/>
              <w:right w:val="single" w:sz="4" w:space="0" w:color="auto"/>
            </w:tcBorders>
            <w:shd w:val="clear" w:color="auto" w:fill="auto"/>
            <w:vAlign w:val="center"/>
            <w:hideMark/>
          </w:tcPr>
          <w:p w14:paraId="40665AF3"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Retrospective cohort</w:t>
            </w:r>
          </w:p>
        </w:tc>
        <w:tc>
          <w:tcPr>
            <w:tcW w:w="1114" w:type="dxa"/>
            <w:tcBorders>
              <w:top w:val="nil"/>
              <w:left w:val="nil"/>
              <w:bottom w:val="single" w:sz="4" w:space="0" w:color="auto"/>
              <w:right w:val="single" w:sz="4" w:space="0" w:color="auto"/>
            </w:tcBorders>
            <w:shd w:val="clear" w:color="auto" w:fill="auto"/>
            <w:vAlign w:val="center"/>
            <w:hideMark/>
          </w:tcPr>
          <w:p w14:paraId="31BBE0D7"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2000-2016</w:t>
            </w:r>
          </w:p>
        </w:tc>
        <w:tc>
          <w:tcPr>
            <w:tcW w:w="0" w:type="auto"/>
            <w:tcBorders>
              <w:top w:val="nil"/>
              <w:left w:val="nil"/>
              <w:bottom w:val="single" w:sz="4" w:space="0" w:color="auto"/>
              <w:right w:val="single" w:sz="4" w:space="0" w:color="auto"/>
            </w:tcBorders>
            <w:shd w:val="clear" w:color="auto" w:fill="auto"/>
            <w:vAlign w:val="center"/>
            <w:hideMark/>
          </w:tcPr>
          <w:p w14:paraId="0FAD534D"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Canada</w:t>
            </w:r>
          </w:p>
        </w:tc>
        <w:tc>
          <w:tcPr>
            <w:tcW w:w="952" w:type="dxa"/>
            <w:tcBorders>
              <w:top w:val="nil"/>
              <w:left w:val="nil"/>
              <w:bottom w:val="single" w:sz="4" w:space="0" w:color="auto"/>
              <w:right w:val="single" w:sz="4" w:space="0" w:color="auto"/>
            </w:tcBorders>
            <w:shd w:val="clear" w:color="auto" w:fill="auto"/>
            <w:vAlign w:val="center"/>
            <w:hideMark/>
          </w:tcPr>
          <w:p w14:paraId="0761777C"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170</w:t>
            </w:r>
          </w:p>
        </w:tc>
        <w:tc>
          <w:tcPr>
            <w:tcW w:w="9929" w:type="dxa"/>
            <w:tcBorders>
              <w:top w:val="nil"/>
              <w:left w:val="nil"/>
              <w:bottom w:val="single" w:sz="4" w:space="0" w:color="auto"/>
              <w:right w:val="single" w:sz="4" w:space="0" w:color="auto"/>
            </w:tcBorders>
            <w:shd w:val="clear" w:color="auto" w:fill="auto"/>
            <w:vAlign w:val="center"/>
            <w:hideMark/>
          </w:tcPr>
          <w:p w14:paraId="4131809A"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 xml:space="preserve"> children aged 0–18 years with pulmonary embolism confirmed by imaging or pathology. Exclusion criteria were sudden death without radiological or pathological pulmonary embolism confirmation and non-thromboembolic pulmonary embolism (eg, tumour thrombus or septic emboli).</w:t>
            </w:r>
          </w:p>
        </w:tc>
        <w:tc>
          <w:tcPr>
            <w:tcW w:w="0" w:type="auto"/>
            <w:tcBorders>
              <w:top w:val="nil"/>
              <w:left w:val="nil"/>
              <w:bottom w:val="single" w:sz="4" w:space="0" w:color="auto"/>
              <w:right w:val="single" w:sz="4" w:space="0" w:color="auto"/>
            </w:tcBorders>
            <w:shd w:val="clear" w:color="auto" w:fill="auto"/>
            <w:vAlign w:val="center"/>
            <w:hideMark/>
          </w:tcPr>
          <w:p w14:paraId="231F6266"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MPE, SMPE, NMPE</w:t>
            </w:r>
          </w:p>
        </w:tc>
        <w:tc>
          <w:tcPr>
            <w:tcW w:w="0" w:type="auto"/>
            <w:tcBorders>
              <w:top w:val="nil"/>
              <w:left w:val="nil"/>
              <w:bottom w:val="single" w:sz="4" w:space="0" w:color="auto"/>
              <w:right w:val="single" w:sz="4" w:space="0" w:color="auto"/>
            </w:tcBorders>
            <w:shd w:val="clear" w:color="auto" w:fill="auto"/>
            <w:vAlign w:val="center"/>
            <w:hideMark/>
          </w:tcPr>
          <w:p w14:paraId="060E9D5A" w14:textId="11766AF5"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37 (22%) had massive, 12 (7%) submassive, and 121 (71%) non-massive pulmonary embolisms. Patients with massive or submassive pulmonary embolism were younger (median age 12·5 years [IQR 0·6–15·1] vs 14·4 years [9·3–16·1], p&lt;0·0001), more likely to have a cardiac condition (16 [33%] vs 17 [14%] patients, p=0·009), and had more central venous catheters (29 [59%] vs 48 [40%] patients, p=0·027) than patients with non-massive pulmonary embolism. Aggressive treatment modalities were more commonly used in massive or submassive pulmonary embolism (22 [45%] vs 7 [6%] patients, p&lt;0·0001)</w:t>
            </w:r>
          </w:p>
        </w:tc>
      </w:tr>
      <w:tr w:rsidR="0031119B" w:rsidRPr="0031119B" w14:paraId="389893C0" w14:textId="77777777" w:rsidTr="0031119B">
        <w:trPr>
          <w:trHeight w:val="2760"/>
        </w:trPr>
        <w:tc>
          <w:tcPr>
            <w:tcW w:w="2010" w:type="dxa"/>
            <w:tcBorders>
              <w:top w:val="nil"/>
              <w:left w:val="single" w:sz="4" w:space="0" w:color="auto"/>
              <w:bottom w:val="single" w:sz="4" w:space="0" w:color="auto"/>
              <w:right w:val="single" w:sz="4" w:space="0" w:color="auto"/>
            </w:tcBorders>
            <w:shd w:val="clear" w:color="B7B7B7" w:fill="B7B7B7"/>
            <w:vAlign w:val="center"/>
            <w:hideMark/>
          </w:tcPr>
          <w:p w14:paraId="06EAC9B6"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lastRenderedPageBreak/>
              <w:t>Belsky et al., 2019</w:t>
            </w:r>
          </w:p>
        </w:tc>
        <w:tc>
          <w:tcPr>
            <w:tcW w:w="1684" w:type="dxa"/>
            <w:tcBorders>
              <w:top w:val="nil"/>
              <w:left w:val="nil"/>
              <w:bottom w:val="single" w:sz="4" w:space="0" w:color="auto"/>
              <w:right w:val="single" w:sz="4" w:space="0" w:color="auto"/>
            </w:tcBorders>
            <w:shd w:val="clear" w:color="auto" w:fill="auto"/>
            <w:vAlign w:val="center"/>
            <w:hideMark/>
          </w:tcPr>
          <w:p w14:paraId="7848EEB4"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Case series</w:t>
            </w:r>
          </w:p>
        </w:tc>
        <w:tc>
          <w:tcPr>
            <w:tcW w:w="1114" w:type="dxa"/>
            <w:tcBorders>
              <w:top w:val="nil"/>
              <w:left w:val="nil"/>
              <w:bottom w:val="single" w:sz="4" w:space="0" w:color="auto"/>
              <w:right w:val="single" w:sz="4" w:space="0" w:color="auto"/>
            </w:tcBorders>
            <w:shd w:val="clear" w:color="auto" w:fill="auto"/>
            <w:vAlign w:val="center"/>
            <w:hideMark/>
          </w:tcPr>
          <w:p w14:paraId="20FA7A4F"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2010-2018</w:t>
            </w:r>
          </w:p>
        </w:tc>
        <w:tc>
          <w:tcPr>
            <w:tcW w:w="0" w:type="auto"/>
            <w:tcBorders>
              <w:top w:val="nil"/>
              <w:left w:val="nil"/>
              <w:bottom w:val="single" w:sz="4" w:space="0" w:color="auto"/>
              <w:right w:val="single" w:sz="4" w:space="0" w:color="auto"/>
            </w:tcBorders>
            <w:shd w:val="clear" w:color="auto" w:fill="auto"/>
            <w:vAlign w:val="center"/>
            <w:hideMark/>
          </w:tcPr>
          <w:p w14:paraId="4432F98C"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USA</w:t>
            </w:r>
          </w:p>
        </w:tc>
        <w:tc>
          <w:tcPr>
            <w:tcW w:w="952" w:type="dxa"/>
            <w:tcBorders>
              <w:top w:val="nil"/>
              <w:left w:val="nil"/>
              <w:bottom w:val="single" w:sz="4" w:space="0" w:color="auto"/>
              <w:right w:val="single" w:sz="4" w:space="0" w:color="auto"/>
            </w:tcBorders>
            <w:shd w:val="clear" w:color="auto" w:fill="auto"/>
            <w:vAlign w:val="center"/>
            <w:hideMark/>
          </w:tcPr>
          <w:p w14:paraId="729C4952"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8</w:t>
            </w:r>
          </w:p>
        </w:tc>
        <w:tc>
          <w:tcPr>
            <w:tcW w:w="9929" w:type="dxa"/>
            <w:tcBorders>
              <w:top w:val="nil"/>
              <w:left w:val="nil"/>
              <w:bottom w:val="single" w:sz="4" w:space="0" w:color="auto"/>
              <w:right w:val="single" w:sz="4" w:space="0" w:color="auto"/>
            </w:tcBorders>
            <w:shd w:val="clear" w:color="auto" w:fill="auto"/>
            <w:vAlign w:val="center"/>
            <w:hideMark/>
          </w:tcPr>
          <w:p w14:paraId="70B5CA58" w14:textId="414DDC16"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children (ages: ≤21 years) diagnosed with PE between January 1, 2010 and June 31, 2018. Submassive PE was defined per American Heart Association guidelines as acute PE without evidence of systemic hypotension, but echocardiographicevidenceofrightventriculardysfunction.7 Baseline demographic</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data</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were</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extracted</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for</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patients</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who</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received</w:t>
            </w:r>
            <w:r>
              <w:rPr>
                <w:rFonts w:ascii="Arial" w:eastAsia="Times New Roman" w:hAnsi="Arial" w:cs="Arial"/>
                <w:color w:val="000000"/>
                <w:sz w:val="24"/>
                <w:szCs w:val="24"/>
              </w:rPr>
              <w:t xml:space="preserve"> </w:t>
            </w:r>
            <w:r w:rsidRPr="0031119B">
              <w:rPr>
                <w:rFonts w:ascii="Arial" w:eastAsia="Times New Roman" w:hAnsi="Arial" w:cs="Arial"/>
                <w:color w:val="000000"/>
                <w:sz w:val="24"/>
                <w:szCs w:val="24"/>
              </w:rPr>
              <w:t>CDT.</w:t>
            </w:r>
          </w:p>
        </w:tc>
        <w:tc>
          <w:tcPr>
            <w:tcW w:w="0" w:type="auto"/>
            <w:tcBorders>
              <w:top w:val="nil"/>
              <w:left w:val="nil"/>
              <w:bottom w:val="single" w:sz="4" w:space="0" w:color="auto"/>
              <w:right w:val="single" w:sz="4" w:space="0" w:color="auto"/>
            </w:tcBorders>
            <w:shd w:val="clear" w:color="auto" w:fill="auto"/>
            <w:vAlign w:val="center"/>
            <w:hideMark/>
          </w:tcPr>
          <w:p w14:paraId="0920800B"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SMPE</w:t>
            </w:r>
          </w:p>
        </w:tc>
        <w:tc>
          <w:tcPr>
            <w:tcW w:w="0" w:type="auto"/>
            <w:tcBorders>
              <w:top w:val="nil"/>
              <w:left w:val="nil"/>
              <w:bottom w:val="single" w:sz="4" w:space="0" w:color="auto"/>
              <w:right w:val="single" w:sz="4" w:space="0" w:color="auto"/>
            </w:tcBorders>
            <w:shd w:val="clear" w:color="auto" w:fill="auto"/>
            <w:vAlign w:val="center"/>
            <w:hideMark/>
          </w:tcPr>
          <w:p w14:paraId="3EDCD307"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Five patients underwent six episodes of CDT.</w:t>
            </w:r>
            <w:r w:rsidRPr="0031119B">
              <w:rPr>
                <w:rFonts w:ascii="Arial" w:eastAsia="Times New Roman" w:hAnsi="Arial" w:cs="Arial"/>
                <w:color w:val="000000"/>
                <w:sz w:val="24"/>
                <w:szCs w:val="24"/>
              </w:rPr>
              <w:br/>
              <w:t xml:space="preserve">No patient developed major/clinically relevant non-major bleeding. Most patients had complete radiological thrombus resolution and no patient had evidence of chronic thromboembolic pulmonary hypertension. </w:t>
            </w:r>
          </w:p>
        </w:tc>
      </w:tr>
      <w:tr w:rsidR="0031119B" w:rsidRPr="0031119B" w14:paraId="3E8AC224" w14:textId="77777777" w:rsidTr="0031119B">
        <w:trPr>
          <w:trHeight w:val="2760"/>
        </w:trPr>
        <w:tc>
          <w:tcPr>
            <w:tcW w:w="2010" w:type="dxa"/>
            <w:tcBorders>
              <w:top w:val="nil"/>
              <w:left w:val="single" w:sz="4" w:space="0" w:color="auto"/>
              <w:bottom w:val="single" w:sz="4" w:space="0" w:color="auto"/>
              <w:right w:val="single" w:sz="4" w:space="0" w:color="auto"/>
            </w:tcBorders>
            <w:shd w:val="clear" w:color="B7B7B7" w:fill="B7B7B7"/>
            <w:vAlign w:val="center"/>
            <w:hideMark/>
          </w:tcPr>
          <w:p w14:paraId="50690F48"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Akam-Venkata et al., 2018</w:t>
            </w:r>
          </w:p>
        </w:tc>
        <w:tc>
          <w:tcPr>
            <w:tcW w:w="1684" w:type="dxa"/>
            <w:tcBorders>
              <w:top w:val="nil"/>
              <w:left w:val="nil"/>
              <w:bottom w:val="single" w:sz="4" w:space="0" w:color="auto"/>
              <w:right w:val="single" w:sz="4" w:space="0" w:color="auto"/>
            </w:tcBorders>
            <w:shd w:val="clear" w:color="auto" w:fill="auto"/>
            <w:vAlign w:val="center"/>
            <w:hideMark/>
          </w:tcPr>
          <w:p w14:paraId="697C1186"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Case series</w:t>
            </w:r>
          </w:p>
        </w:tc>
        <w:tc>
          <w:tcPr>
            <w:tcW w:w="1114" w:type="dxa"/>
            <w:tcBorders>
              <w:top w:val="nil"/>
              <w:left w:val="nil"/>
              <w:bottom w:val="single" w:sz="4" w:space="0" w:color="auto"/>
              <w:right w:val="single" w:sz="4" w:space="0" w:color="auto"/>
            </w:tcBorders>
            <w:shd w:val="clear" w:color="auto" w:fill="auto"/>
            <w:vAlign w:val="center"/>
            <w:hideMark/>
          </w:tcPr>
          <w:p w14:paraId="57B92FC0"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2005-2017</w:t>
            </w:r>
          </w:p>
        </w:tc>
        <w:tc>
          <w:tcPr>
            <w:tcW w:w="0" w:type="auto"/>
            <w:tcBorders>
              <w:top w:val="nil"/>
              <w:left w:val="nil"/>
              <w:bottom w:val="single" w:sz="4" w:space="0" w:color="auto"/>
              <w:right w:val="single" w:sz="4" w:space="0" w:color="auto"/>
            </w:tcBorders>
            <w:shd w:val="clear" w:color="auto" w:fill="auto"/>
            <w:vAlign w:val="center"/>
            <w:hideMark/>
          </w:tcPr>
          <w:p w14:paraId="7669AC11"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USA</w:t>
            </w:r>
          </w:p>
        </w:tc>
        <w:tc>
          <w:tcPr>
            <w:tcW w:w="952" w:type="dxa"/>
            <w:tcBorders>
              <w:top w:val="nil"/>
              <w:left w:val="nil"/>
              <w:bottom w:val="single" w:sz="4" w:space="0" w:color="auto"/>
              <w:right w:val="single" w:sz="4" w:space="0" w:color="auto"/>
            </w:tcBorders>
            <w:shd w:val="clear" w:color="auto" w:fill="auto"/>
            <w:vAlign w:val="center"/>
            <w:hideMark/>
          </w:tcPr>
          <w:p w14:paraId="4EFB07C7"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9</w:t>
            </w:r>
          </w:p>
        </w:tc>
        <w:tc>
          <w:tcPr>
            <w:tcW w:w="9929" w:type="dxa"/>
            <w:tcBorders>
              <w:top w:val="nil"/>
              <w:left w:val="nil"/>
              <w:bottom w:val="single" w:sz="4" w:space="0" w:color="auto"/>
              <w:right w:val="single" w:sz="4" w:space="0" w:color="auto"/>
            </w:tcBorders>
            <w:shd w:val="clear" w:color="auto" w:fill="auto"/>
            <w:vAlign w:val="center"/>
            <w:hideMark/>
          </w:tcPr>
          <w:p w14:paraId="0F664406"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 xml:space="preserve">children aged </w:t>
            </w:r>
            <w:r w:rsidRPr="0031119B">
              <w:rPr>
                <w:rFonts w:ascii="Cambria Math" w:eastAsia="Times New Roman" w:hAnsi="Cambria Math" w:cs="Cambria Math"/>
                <w:color w:val="000000"/>
                <w:sz w:val="24"/>
                <w:szCs w:val="24"/>
              </w:rPr>
              <w:t>⩽</w:t>
            </w:r>
            <w:r w:rsidRPr="0031119B">
              <w:rPr>
                <w:rFonts w:ascii="Arial" w:eastAsia="Times New Roman" w:hAnsi="Arial" w:cs="Arial"/>
                <w:color w:val="000000"/>
                <w:sz w:val="24"/>
                <w:szCs w:val="24"/>
              </w:rPr>
              <w:t>20 years with a structurally normal heart who underwent catheter-directed therapy for acute pulmonary embolism at Detroit Medical Center. Exclusion criteria were those with underlying CHD except patent foramen ovale. Definitive diagnosis of acute pulmonary embolism was made based on chest CT angiography in all the included cases.</w:t>
            </w:r>
          </w:p>
        </w:tc>
        <w:tc>
          <w:tcPr>
            <w:tcW w:w="0" w:type="auto"/>
            <w:tcBorders>
              <w:top w:val="nil"/>
              <w:left w:val="nil"/>
              <w:bottom w:val="single" w:sz="4" w:space="0" w:color="auto"/>
              <w:right w:val="single" w:sz="4" w:space="0" w:color="auto"/>
            </w:tcBorders>
            <w:shd w:val="clear" w:color="auto" w:fill="auto"/>
            <w:vAlign w:val="center"/>
            <w:hideMark/>
          </w:tcPr>
          <w:p w14:paraId="614C4EC7"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MPE, SMPE</w:t>
            </w:r>
          </w:p>
        </w:tc>
        <w:tc>
          <w:tcPr>
            <w:tcW w:w="0" w:type="auto"/>
            <w:tcBorders>
              <w:top w:val="nil"/>
              <w:left w:val="nil"/>
              <w:bottom w:val="single" w:sz="4" w:space="0" w:color="auto"/>
              <w:right w:val="single" w:sz="4" w:space="0" w:color="auto"/>
            </w:tcBorders>
            <w:shd w:val="clear" w:color="auto" w:fill="auto"/>
            <w:vAlign w:val="center"/>
            <w:hideMark/>
          </w:tcPr>
          <w:p w14:paraId="477715C3"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In four out of five patients treated with EkoSonic, significant clinical improvement was noticed within 24hours. Among seven patients who survived, two patients had minor gastrointestinal bleeding with median hospital stay of 8 days with the range from 5 to 24 days, and two patients with massive pulmonary embolism died possibly due to delayed institution of catheter-directed therapy</w:t>
            </w:r>
          </w:p>
        </w:tc>
      </w:tr>
      <w:tr w:rsidR="0031119B" w:rsidRPr="0031119B" w14:paraId="12C64B9C" w14:textId="77777777" w:rsidTr="0031119B">
        <w:trPr>
          <w:trHeight w:val="2760"/>
        </w:trPr>
        <w:tc>
          <w:tcPr>
            <w:tcW w:w="2010" w:type="dxa"/>
            <w:tcBorders>
              <w:top w:val="nil"/>
              <w:left w:val="single" w:sz="4" w:space="0" w:color="auto"/>
              <w:bottom w:val="single" w:sz="4" w:space="0" w:color="auto"/>
              <w:right w:val="single" w:sz="4" w:space="0" w:color="auto"/>
            </w:tcBorders>
            <w:shd w:val="clear" w:color="B7B7B7" w:fill="B7B7B7"/>
            <w:vAlign w:val="center"/>
            <w:hideMark/>
          </w:tcPr>
          <w:p w14:paraId="6C46B2EC"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Ji et al., 2019</w:t>
            </w:r>
          </w:p>
        </w:tc>
        <w:tc>
          <w:tcPr>
            <w:tcW w:w="1684" w:type="dxa"/>
            <w:tcBorders>
              <w:top w:val="nil"/>
              <w:left w:val="nil"/>
              <w:bottom w:val="single" w:sz="4" w:space="0" w:color="auto"/>
              <w:right w:val="single" w:sz="4" w:space="0" w:color="auto"/>
            </w:tcBorders>
            <w:shd w:val="clear" w:color="auto" w:fill="auto"/>
            <w:vAlign w:val="center"/>
            <w:hideMark/>
          </w:tcPr>
          <w:p w14:paraId="6F4AEB63"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Case series</w:t>
            </w:r>
          </w:p>
        </w:tc>
        <w:tc>
          <w:tcPr>
            <w:tcW w:w="1114" w:type="dxa"/>
            <w:tcBorders>
              <w:top w:val="nil"/>
              <w:left w:val="nil"/>
              <w:bottom w:val="single" w:sz="4" w:space="0" w:color="auto"/>
              <w:right w:val="single" w:sz="4" w:space="0" w:color="auto"/>
            </w:tcBorders>
            <w:shd w:val="clear" w:color="auto" w:fill="auto"/>
            <w:vAlign w:val="center"/>
            <w:hideMark/>
          </w:tcPr>
          <w:p w14:paraId="28352549"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2016-2018</w:t>
            </w:r>
          </w:p>
        </w:tc>
        <w:tc>
          <w:tcPr>
            <w:tcW w:w="0" w:type="auto"/>
            <w:tcBorders>
              <w:top w:val="nil"/>
              <w:left w:val="nil"/>
              <w:bottom w:val="single" w:sz="4" w:space="0" w:color="auto"/>
              <w:right w:val="single" w:sz="4" w:space="0" w:color="auto"/>
            </w:tcBorders>
            <w:shd w:val="clear" w:color="auto" w:fill="auto"/>
            <w:vAlign w:val="center"/>
            <w:hideMark/>
          </w:tcPr>
          <w:p w14:paraId="19E41FCA"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USA</w:t>
            </w:r>
          </w:p>
        </w:tc>
        <w:tc>
          <w:tcPr>
            <w:tcW w:w="952" w:type="dxa"/>
            <w:tcBorders>
              <w:top w:val="nil"/>
              <w:left w:val="nil"/>
              <w:bottom w:val="single" w:sz="4" w:space="0" w:color="auto"/>
              <w:right w:val="single" w:sz="4" w:space="0" w:color="auto"/>
            </w:tcBorders>
            <w:shd w:val="clear" w:color="auto" w:fill="auto"/>
            <w:vAlign w:val="center"/>
            <w:hideMark/>
          </w:tcPr>
          <w:p w14:paraId="5FA439AF"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9</w:t>
            </w:r>
          </w:p>
        </w:tc>
        <w:tc>
          <w:tcPr>
            <w:tcW w:w="9929" w:type="dxa"/>
            <w:tcBorders>
              <w:top w:val="nil"/>
              <w:left w:val="nil"/>
              <w:bottom w:val="single" w:sz="4" w:space="0" w:color="auto"/>
              <w:right w:val="single" w:sz="4" w:space="0" w:color="auto"/>
            </w:tcBorders>
            <w:shd w:val="clear" w:color="auto" w:fill="auto"/>
            <w:vAlign w:val="center"/>
            <w:hideMark/>
          </w:tcPr>
          <w:p w14:paraId="3A45DC58"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 xml:space="preserve"> patients less than 21 years old who presented with acute PE and associated cardiac arrest, sustained hypotension requiring vasopressor support, or normotensive shock with heart rate less than 40 beats per minute as well as patients less than 21 years old who presented with acute PE without hypotension or shock, but with evidence of right heart strain on imaging or evidence of myocardial necrosis. All patients were primarily managed by the PICU. Hematology consults were obtained in conjunction with interventional radiology consults for all patients.</w:t>
            </w:r>
          </w:p>
        </w:tc>
        <w:tc>
          <w:tcPr>
            <w:tcW w:w="0" w:type="auto"/>
            <w:tcBorders>
              <w:top w:val="nil"/>
              <w:left w:val="nil"/>
              <w:bottom w:val="single" w:sz="4" w:space="0" w:color="auto"/>
              <w:right w:val="single" w:sz="4" w:space="0" w:color="auto"/>
            </w:tcBorders>
            <w:shd w:val="clear" w:color="auto" w:fill="auto"/>
            <w:vAlign w:val="center"/>
            <w:hideMark/>
          </w:tcPr>
          <w:p w14:paraId="2522F9C8"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MPE, SMPE</w:t>
            </w:r>
          </w:p>
        </w:tc>
        <w:tc>
          <w:tcPr>
            <w:tcW w:w="0" w:type="auto"/>
            <w:tcBorders>
              <w:top w:val="nil"/>
              <w:left w:val="nil"/>
              <w:bottom w:val="single" w:sz="4" w:space="0" w:color="auto"/>
              <w:right w:val="single" w:sz="4" w:space="0" w:color="auto"/>
            </w:tcBorders>
            <w:shd w:val="clear" w:color="auto" w:fill="auto"/>
            <w:vAlign w:val="center"/>
            <w:hideMark/>
          </w:tcPr>
          <w:p w14:paraId="49D53104" w14:textId="77777777" w:rsidR="0031119B" w:rsidRPr="0031119B" w:rsidRDefault="0031119B" w:rsidP="00A35E70">
            <w:pPr>
              <w:spacing w:after="0" w:line="240" w:lineRule="auto"/>
              <w:jc w:val="center"/>
              <w:rPr>
                <w:rFonts w:ascii="Arial" w:eastAsia="Times New Roman" w:hAnsi="Arial" w:cs="Arial"/>
                <w:color w:val="000000"/>
                <w:sz w:val="24"/>
                <w:szCs w:val="24"/>
              </w:rPr>
            </w:pPr>
            <w:r w:rsidRPr="0031119B">
              <w:rPr>
                <w:rFonts w:ascii="Arial" w:eastAsia="Times New Roman" w:hAnsi="Arial" w:cs="Arial"/>
                <w:color w:val="000000"/>
                <w:sz w:val="24"/>
                <w:szCs w:val="24"/>
              </w:rPr>
              <w:t> </w:t>
            </w:r>
          </w:p>
        </w:tc>
      </w:tr>
    </w:tbl>
    <w:p w14:paraId="5C4F5B63" w14:textId="77777777" w:rsidR="0031119B" w:rsidRDefault="0031119B" w:rsidP="0031119B"/>
    <w:p w14:paraId="2D152A16" w14:textId="77777777" w:rsidR="0031119B" w:rsidRPr="0031119B" w:rsidRDefault="0031119B" w:rsidP="0031119B"/>
    <w:sectPr w:rsidR="0031119B" w:rsidRPr="0031119B" w:rsidSect="0031119B">
      <w:pgSz w:w="24480" w:h="15840" w:orient="landscape" w:code="3"/>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19B"/>
    <w:rsid w:val="002271A0"/>
    <w:rsid w:val="0031119B"/>
    <w:rsid w:val="00C219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27E4D"/>
  <w15:chartTrackingRefBased/>
  <w15:docId w15:val="{627C1131-C170-4003-92EC-8A8ECCAFF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8696359">
      <w:bodyDiv w:val="1"/>
      <w:marLeft w:val="0"/>
      <w:marRight w:val="0"/>
      <w:marTop w:val="0"/>
      <w:marBottom w:val="0"/>
      <w:divBdr>
        <w:top w:val="none" w:sz="0" w:space="0" w:color="auto"/>
        <w:left w:val="none" w:sz="0" w:space="0" w:color="auto"/>
        <w:bottom w:val="none" w:sz="0" w:space="0" w:color="auto"/>
        <w:right w:val="none" w:sz="0" w:space="0" w:color="auto"/>
      </w:divBdr>
    </w:div>
    <w:div w:id="1488783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777</Words>
  <Characters>4429</Characters>
  <Application>Microsoft Office Word</Application>
  <DocSecurity>0</DocSecurity>
  <Lines>36</Lines>
  <Paragraphs>10</Paragraphs>
  <ScaleCrop>false</ScaleCrop>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Ayyad</dc:creator>
  <cp:keywords/>
  <dc:description/>
  <cp:lastModifiedBy>Mohammed Ayyad</cp:lastModifiedBy>
  <cp:revision>2</cp:revision>
  <dcterms:created xsi:type="dcterms:W3CDTF">2024-04-06T22:39:00Z</dcterms:created>
  <dcterms:modified xsi:type="dcterms:W3CDTF">2024-04-06T22:58:00Z</dcterms:modified>
</cp:coreProperties>
</file>