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8572" w14:textId="2B9ACC3D" w:rsidR="00E65280" w:rsidRDefault="00661B7F" w:rsidP="00095356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0" w:name="OLE_LINK123"/>
      <w:bookmarkStart w:id="1" w:name="OLE_LINK134"/>
      <w:r w:rsidRPr="00661B7F">
        <w:rPr>
          <w:rFonts w:ascii="Times New Roman" w:hAnsi="Times New Roman" w:cs="Times New Roman"/>
          <w:b/>
          <w:bCs/>
          <w:sz w:val="24"/>
        </w:rPr>
        <w:t>Supplementary Methods</w:t>
      </w:r>
    </w:p>
    <w:bookmarkEnd w:id="1"/>
    <w:p w14:paraId="6C9A1547" w14:textId="77777777" w:rsidR="00E65280" w:rsidRDefault="00E65280" w:rsidP="00095356">
      <w:pPr>
        <w:spacing w:line="480" w:lineRule="auto"/>
        <w:rPr>
          <w:rFonts w:ascii="Times New Roman" w:hAnsi="Times New Roman" w:cs="Times New Roman" w:hint="eastAsia"/>
          <w:b/>
          <w:bCs/>
          <w:sz w:val="24"/>
        </w:rPr>
      </w:pPr>
    </w:p>
    <w:p w14:paraId="16F5F309" w14:textId="16E2DDDF" w:rsidR="009D2201" w:rsidRPr="00E65280" w:rsidRDefault="00E65280" w:rsidP="00095356">
      <w:pPr>
        <w:spacing w:line="480" w:lineRule="auto"/>
        <w:rPr>
          <w:rFonts w:ascii="Times New Roman" w:hAnsi="Times New Roman" w:cs="Times New Roman" w:hint="eastAsia"/>
          <w:b/>
          <w:bCs/>
          <w:i/>
          <w:iCs/>
          <w:sz w:val="24"/>
        </w:rPr>
      </w:pPr>
      <w:r w:rsidRPr="00E65280">
        <w:rPr>
          <w:rFonts w:ascii="Times New Roman" w:hAnsi="Times New Roman" w:cs="Times New Roman"/>
          <w:b/>
          <w:bCs/>
          <w:i/>
          <w:iCs/>
          <w:sz w:val="24"/>
        </w:rPr>
        <w:t>Detailed Calculation Methods for BMI, Diabetes Identification</w:t>
      </w:r>
    </w:p>
    <w:p w14:paraId="6E6A44C2" w14:textId="1B07F0D9" w:rsidR="009D2201" w:rsidRPr="00E4609D" w:rsidRDefault="009D2201" w:rsidP="009D2201">
      <w:pPr>
        <w:spacing w:line="480" w:lineRule="auto"/>
        <w:ind w:firstLine="420"/>
        <w:rPr>
          <w:rFonts w:ascii="Times New Roman" w:hAnsi="Times New Roman" w:cs="Times New Roman"/>
          <w:color w:val="000000" w:themeColor="text1"/>
          <w:sz w:val="24"/>
        </w:rPr>
      </w:pPr>
      <w:bookmarkStart w:id="2" w:name="OLE_LINK133"/>
      <w:r w:rsidRPr="00FB76E0">
        <w:rPr>
          <w:rFonts w:ascii="Times New Roman" w:hAnsi="Times New Roman" w:cs="Times New Roman"/>
          <w:color w:val="000000" w:themeColor="text1"/>
        </w:rPr>
        <w:t>BMI was derived from weight in kilograms divided by height in meters squared. Diabetes was identified by fasting glucose ≥7.0 mmol/L, HbA1c ≥6.5%, or diabetes medication use.</w:t>
      </w:r>
      <w:r w:rsidRPr="009D2201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2"/>
    <w:p w14:paraId="2F7D04C5" w14:textId="77777777" w:rsidR="009D2201" w:rsidRPr="009D2201" w:rsidRDefault="009D2201" w:rsidP="00095356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7E2DF83E" w14:textId="0531B3D9" w:rsidR="009166AE" w:rsidRPr="00E65280" w:rsidRDefault="009166AE" w:rsidP="00095356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  <w:r w:rsidRPr="00E65280">
        <w:rPr>
          <w:rFonts w:ascii="Times New Roman" w:hAnsi="Times New Roman" w:cs="Times New Roman"/>
          <w:b/>
          <w:bCs/>
          <w:i/>
          <w:iCs/>
          <w:sz w:val="24"/>
        </w:rPr>
        <w:t>Criteria for Diagnosing Metabolic Dysfunction in SLD</w:t>
      </w:r>
    </w:p>
    <w:p w14:paraId="5B78E0B6" w14:textId="1E97E130" w:rsidR="00661B7F" w:rsidRDefault="004153B2" w:rsidP="00095356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  <w:bookmarkStart w:id="3" w:name="OLE_LINK124"/>
      <w:bookmarkEnd w:id="0"/>
      <w:r w:rsidRPr="004153B2">
        <w:rPr>
          <w:rFonts w:ascii="Times New Roman" w:hAnsi="Times New Roman" w:cs="Times New Roman"/>
          <w:sz w:val="24"/>
        </w:rPr>
        <w:t>Metabolic dysfunction in SLD was diagnosed based on one or more cardiometabolic risk factors:</w:t>
      </w:r>
      <w:r w:rsidR="00095356">
        <w:rPr>
          <w:rFonts w:ascii="Times New Roman" w:hAnsi="Times New Roman" w:cs="Times New Roman"/>
          <w:sz w:val="24"/>
        </w:rPr>
        <w:t xml:space="preserve"> </w:t>
      </w:r>
      <w:r w:rsidRPr="004153B2">
        <w:rPr>
          <w:rFonts w:ascii="Cambria Math" w:hAnsi="Cambria Math" w:cs="Cambria Math"/>
          <w:sz w:val="24"/>
        </w:rPr>
        <w:t>①</w:t>
      </w:r>
      <w:r w:rsidRPr="004153B2">
        <w:rPr>
          <w:rFonts w:ascii="Times New Roman" w:hAnsi="Times New Roman" w:cs="Times New Roman"/>
          <w:sz w:val="24"/>
        </w:rPr>
        <w:t xml:space="preserve">BMI of 25 kg/m2 or higher, or a waist circumference exceeding 94 cm for males and 80 cm for females, </w:t>
      </w:r>
      <w:r w:rsidRPr="004153B2">
        <w:rPr>
          <w:rFonts w:ascii="Cambria Math" w:hAnsi="Cambria Math" w:cs="Cambria Math"/>
          <w:sz w:val="24"/>
        </w:rPr>
        <w:t>②</w:t>
      </w:r>
      <w:r w:rsidRPr="004153B2">
        <w:rPr>
          <w:rFonts w:ascii="Times New Roman" w:hAnsi="Times New Roman" w:cs="Times New Roman"/>
          <w:sz w:val="24"/>
        </w:rPr>
        <w:t xml:space="preserve"> Fasting plasma glucose levels of 100 mg/dL or higher, or an HbA1c of 5.7% or above, </w:t>
      </w:r>
      <w:r w:rsidRPr="004153B2">
        <w:rPr>
          <w:rFonts w:ascii="Cambria Math" w:hAnsi="Cambria Math" w:cs="Cambria Math"/>
          <w:sz w:val="24"/>
        </w:rPr>
        <w:t>③</w:t>
      </w:r>
      <w:r w:rsidRPr="004153B2">
        <w:rPr>
          <w:rFonts w:ascii="Times New Roman" w:hAnsi="Times New Roman" w:cs="Times New Roman"/>
          <w:sz w:val="24"/>
        </w:rPr>
        <w:t xml:space="preserve"> Blood pressure of 130/85 mmHg or higher, or receiving treatment for hypertension, </w:t>
      </w:r>
      <w:r w:rsidRPr="004153B2">
        <w:rPr>
          <w:rFonts w:ascii="Cambria Math" w:hAnsi="Cambria Math" w:cs="Cambria Math"/>
          <w:sz w:val="24"/>
        </w:rPr>
        <w:t>④</w:t>
      </w:r>
      <w:r w:rsidRPr="004153B2">
        <w:rPr>
          <w:rFonts w:ascii="Times New Roman" w:hAnsi="Times New Roman" w:cs="Times New Roman"/>
          <w:sz w:val="24"/>
        </w:rPr>
        <w:t xml:space="preserve"> Triglyceride levels of 150 mg/dL or higher, </w:t>
      </w:r>
      <w:r w:rsidRPr="004153B2">
        <w:rPr>
          <w:rFonts w:ascii="Cambria Math" w:hAnsi="Cambria Math" w:cs="Cambria Math"/>
          <w:sz w:val="24"/>
        </w:rPr>
        <w:t>⑤</w:t>
      </w:r>
      <w:r w:rsidRPr="004153B2">
        <w:rPr>
          <w:rFonts w:ascii="Times New Roman" w:hAnsi="Times New Roman" w:cs="Times New Roman"/>
          <w:sz w:val="24"/>
        </w:rPr>
        <w:t xml:space="preserve"> Low HDL-C, defined as less than 40 mg/dL for males and less than 50 mg/dL for females.</w:t>
      </w:r>
      <w:bookmarkEnd w:id="3"/>
    </w:p>
    <w:p w14:paraId="7052CAD6" w14:textId="482D0DF5" w:rsidR="000E18E8" w:rsidRDefault="000E18E8" w:rsidP="00095356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 w14:paraId="037D58AF" w14:textId="2D55E5D2" w:rsidR="000E18E8" w:rsidRPr="00E65280" w:rsidRDefault="000E18E8" w:rsidP="000E18E8">
      <w:pPr>
        <w:spacing w:line="480" w:lineRule="auto"/>
        <w:rPr>
          <w:rFonts w:ascii="Times New Roman" w:hAnsi="Times New Roman" w:cs="Times New Roman" w:hint="eastAsia"/>
          <w:b/>
          <w:bCs/>
          <w:i/>
          <w:iCs/>
          <w:color w:val="000000" w:themeColor="text1"/>
          <w:sz w:val="24"/>
        </w:rPr>
      </w:pPr>
      <w:r w:rsidRPr="00E6528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Assessment of Chronic Kidney Disease</w:t>
      </w:r>
    </w:p>
    <w:p w14:paraId="501491DF" w14:textId="26D18650" w:rsidR="00E4609D" w:rsidRDefault="00E4609D" w:rsidP="00E4609D">
      <w:pPr>
        <w:spacing w:line="480" w:lineRule="auto"/>
        <w:ind w:firstLine="420"/>
        <w:rPr>
          <w:rFonts w:ascii="Times New Roman" w:hAnsi="Times New Roman" w:cs="Times New Roman"/>
          <w:color w:val="000000" w:themeColor="text1"/>
          <w:sz w:val="24"/>
        </w:rPr>
      </w:pPr>
      <w:bookmarkStart w:id="4" w:name="OLE_LINK105"/>
      <w:bookmarkStart w:id="5" w:name="OLE_LINK12"/>
      <w:r w:rsidRPr="00E4609D">
        <w:rPr>
          <w:rFonts w:ascii="Times New Roman" w:hAnsi="Times New Roman" w:cs="Times New Roman"/>
          <w:color w:val="000000" w:themeColor="text1"/>
          <w:sz w:val="24"/>
        </w:rPr>
        <w:t>The Chronic Kidney Disease Epidemiology Collaboration (CKD-EPI) equation was utilized to calculate the estimated glomerular filtration rate (eGFR)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E4609D">
        <w:rPr>
          <w:rFonts w:ascii="Times New Roman" w:hAnsi="Times New Roman" w:cs="Times New Roman"/>
          <w:color w:val="000000" w:themeColor="text1"/>
          <w:sz w:val="24"/>
        </w:rPr>
        <w:instrText xml:space="preserve"> ADDIN ZOTERO_ITEM CSL_CITATION {"citationID":"g2GU1cRQ","properties":{"formattedCitation":"[21]","plainCitation":"[21]","noteIndex":0},"citationItems":[{"id":3973,"uris":["http://zotero.org/users/10854144/items/9FRAHADB"],"itemData":{"id":3973,"type":"article-journal","abstract":"BACKGROUND: Equations to estimate glomerular filtration rate (GFR) are routinely used to assess kidney function. Current equations have limited precision and systematically underestimate measured GFR at higher values.\nOBJECTIVE: To develop a new estimating equation for GFR: the Chronic Kidney Disease Epidemiology Collaboration (CKD-EPI) equation.\nDESIGN: Cross-sectional analysis with separate pooled data sets for equation development and validation and a representative sample of the U.S. population for prevalence estimates.\nSETTING: Research studies and clinical populations (\"studies\") with measured GFR and NHANES (National Health and Nutrition Examination Survey), 1999 to 2006.\nPARTICIPANTS: 8254 participants in 10 studies (equation development data set) and 3896 participants in 16 studies (validation data set). Prevalence estimates were based on 16,032 participants in NHANES.\nMEASUREMENTS: GFR, measured as the clearance of exogenous filtration markers (iothalamate in the development data set; iothalamate and other markers in the validation data set), and linear regression to estimate the logarithm of measured GFR from standardized creatinine levels, sex, race, and age.\nRESULTS: In the validation data set, the CKD-EPI equation performed better than the Modification of Diet in Renal Disease Study equation, especially at higher GFR (P &lt; 0.001 for all subsequent comparisons), with less bias (median difference between measured and estimated GFR, 2.5 vs. 5.5 mL/min per 1.73 m(2)), improved precision (interquartile range [IQR] of the differences, 16.6 vs. 18.3 mL/min per 1.73 m(2)), and greater accuracy (percentage of estimated GFR within 30% of measured GFR, 84.1% vs. 80.6%). In NHANES, the median estimated GFR was 94.5 mL/min per 1.73 m(2) (IQR, 79.7 to 108.1) vs. 85.0 (IQR, 72.9 to 98.5) mL/min per 1.73 m(2), and the prevalence of chronic kidney disease was 11.5% (95% CI, 10.6% to 12.4%) versus 13.1% (CI, 12.1% to 14.0%).\nLIMITATION: The sample contained a limited number of elderly people and racial and ethnic minorities with measured GFR.\nCONCLUSION: The CKD-EPI creatinine equation is more accurate than the Modification of Diet in Renal Disease Study equation and could replace it for routine clinical use.\nPRIMARY FUNDING SOURCE: National Institute of Diabetes and Digestive and Kidney Diseases.","container-title":"Annals of Internal Medicine","DOI":"10.7326/0003-4819-150-9-200905050-00006","ISSN":"1539-3704","issue":"9","journalAbbreviation":"Ann Intern Med","language":"en","note":"PMID: 19414839\nPMCID: PMC2763564","page":"604-612","source":"PubMed","title":"A new equation to estimate glomerular filtration rate","volume":"150","author":[{"family":"Levey","given":"Andrew S."},{"family":"Stevens","given":"Lesley A."},{"family":"Schmid","given":"Christopher H."},{"family":"Zhang","given":"Yaping Lucy"},{"family":"Castro","given":"Alejandro F."},{"family":"Feldman","given":"Harold I."},{"family":"Kusek","given":"John W."},{"family":"Eggers","given":"Paul"},{"family":"Van Lente","given":"Frederick"},{"family":"Greene","given":"Tom"},{"family":"Coresh","given":"Josef"},{"literal":"CKD-EPI (Chronic Kidney Disease Epidemiology Collaboration)"}],"issued":{"date-parts":[["2009",5,5]]}}}],"schema":"https://github.com/citation-style-language/schema/raw/master/csl-citation.json"} </w:instrText>
      </w:r>
      <w:r w:rsidRPr="00E4609D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E4609D">
        <w:rPr>
          <w:rFonts w:ascii="Times New Roman" w:hAnsi="Times New Roman" w:cs="Times New Roman"/>
          <w:color w:val="000000" w:themeColor="text1"/>
          <w:sz w:val="24"/>
        </w:rPr>
        <w:t>[21]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End w:id="4"/>
      <w:r w:rsidRPr="00E4609D">
        <w:rPr>
          <w:rFonts w:ascii="Times New Roman" w:hAnsi="Times New Roman" w:cs="Times New Roman"/>
          <w:color w:val="000000" w:themeColor="text1"/>
          <w:sz w:val="24"/>
        </w:rPr>
        <w:t>. The CKD-EPI equation is detailed as: eGFR = 141 × min (</w:t>
      </w:r>
      <w:proofErr w:type="spellStart"/>
      <w:r w:rsidRPr="00E4609D">
        <w:rPr>
          <w:rFonts w:ascii="Times New Roman" w:hAnsi="Times New Roman" w:cs="Times New Roman"/>
          <w:color w:val="000000" w:themeColor="text1"/>
          <w:sz w:val="24"/>
        </w:rPr>
        <w:t>Scr</w:t>
      </w:r>
      <w:proofErr w:type="spellEnd"/>
      <w:r w:rsidRPr="00E4609D">
        <w:rPr>
          <w:rFonts w:ascii="Times New Roman" w:hAnsi="Times New Roman" w:cs="Times New Roman"/>
          <w:color w:val="000000" w:themeColor="text1"/>
          <w:sz w:val="24"/>
        </w:rPr>
        <w:t>/κ,1)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α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×max(</w:t>
      </w:r>
      <w:proofErr w:type="spellStart"/>
      <w:r w:rsidRPr="00E4609D">
        <w:rPr>
          <w:rFonts w:ascii="Times New Roman" w:hAnsi="Times New Roman" w:cs="Times New Roman"/>
          <w:color w:val="000000" w:themeColor="text1"/>
          <w:sz w:val="24"/>
        </w:rPr>
        <w:t>Scr</w:t>
      </w:r>
      <w:proofErr w:type="spellEnd"/>
      <w:r w:rsidRPr="00E4609D">
        <w:rPr>
          <w:rFonts w:ascii="Times New Roman" w:hAnsi="Times New Roman" w:cs="Times New Roman"/>
          <w:color w:val="000000" w:themeColor="text1"/>
          <w:sz w:val="24"/>
        </w:rPr>
        <w:t>/κ,1)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-1.209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× 0.993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Age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× 1.018 [if female], where </w:t>
      </w:r>
      <w:proofErr w:type="spellStart"/>
      <w:r w:rsidRPr="00E4609D">
        <w:rPr>
          <w:rFonts w:ascii="Times New Roman" w:hAnsi="Times New Roman" w:cs="Times New Roman"/>
          <w:color w:val="000000" w:themeColor="text1"/>
          <w:sz w:val="24"/>
        </w:rPr>
        <w:t>Scr</w:t>
      </w:r>
      <w:proofErr w:type="spellEnd"/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is serum creatinine, κ is 0.7 for females and 0.9 for males, α is −0.329 for females and −0.411 for males, min indicates the minimum of </w:t>
      </w:r>
      <w:proofErr w:type="spellStart"/>
      <w:r w:rsidRPr="00E4609D">
        <w:rPr>
          <w:rFonts w:ascii="Times New Roman" w:hAnsi="Times New Roman" w:cs="Times New Roman"/>
          <w:color w:val="000000" w:themeColor="text1"/>
          <w:sz w:val="24"/>
        </w:rPr>
        <w:t>Scr</w:t>
      </w:r>
      <w:proofErr w:type="spellEnd"/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/κ or 1, and max indicates the maximum of </w:t>
      </w:r>
      <w:proofErr w:type="spellStart"/>
      <w:r w:rsidRPr="00E4609D">
        <w:rPr>
          <w:rFonts w:ascii="Times New Roman" w:hAnsi="Times New Roman" w:cs="Times New Roman"/>
          <w:color w:val="000000" w:themeColor="text1"/>
          <w:sz w:val="24"/>
        </w:rPr>
        <w:t>Scr</w:t>
      </w:r>
      <w:proofErr w:type="spellEnd"/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/κ or 1. </w:t>
      </w:r>
      <w:bookmarkStart w:id="6" w:name="OLE_LINK106"/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The staging of CKD adheres to the 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lastRenderedPageBreak/>
        <w:t>Kidney Disease:</w:t>
      </w:r>
      <w:bookmarkStart w:id="7" w:name="OLE_LINK107"/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Improving Global Outcomes (KDIGO)</w:t>
      </w:r>
      <w:bookmarkEnd w:id="7"/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guidelines and is as follows:</w:t>
      </w:r>
      <w:bookmarkEnd w:id="6"/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stage 1, urinary albumin-to-creatinine ratio (ACR) </w:t>
      </w:r>
      <w:bookmarkStart w:id="8" w:name="OLE_LINK37"/>
      <w:r w:rsidRPr="00E4609D">
        <w:rPr>
          <w:rFonts w:ascii="Times New Roman" w:hAnsi="Times New Roman" w:cs="Times New Roman"/>
          <w:color w:val="000000" w:themeColor="text1"/>
          <w:sz w:val="24"/>
        </w:rPr>
        <w:t>≥</w:t>
      </w:r>
      <w:bookmarkEnd w:id="8"/>
      <w:r w:rsidRPr="00E4609D">
        <w:rPr>
          <w:rFonts w:ascii="Times New Roman" w:hAnsi="Times New Roman" w:cs="Times New Roman"/>
          <w:color w:val="000000" w:themeColor="text1"/>
          <w:sz w:val="24"/>
        </w:rPr>
        <w:t>30 mg/g with eGFR ≥ 90 ml/min/1.73 m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>; stage 2, ACR ≥ 30 mg/g with eGFR of 60–89 ml/min/1.73 m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>; stage 3, eGFR of 30–59 ml/min/1.73 m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 xml:space="preserve"> (with or without ACR ≥30 mg/g); stage 4, eGFR of 15</w:t>
      </w:r>
      <w:bookmarkStart w:id="9" w:name="OLE_LINK15"/>
      <w:r w:rsidRPr="00E4609D">
        <w:rPr>
          <w:rFonts w:ascii="Times New Roman" w:hAnsi="Times New Roman" w:cs="Times New Roman"/>
          <w:color w:val="000000" w:themeColor="text1"/>
          <w:sz w:val="24"/>
        </w:rPr>
        <w:t>–</w:t>
      </w:r>
      <w:bookmarkEnd w:id="9"/>
      <w:r w:rsidRPr="00E4609D">
        <w:rPr>
          <w:rFonts w:ascii="Times New Roman" w:hAnsi="Times New Roman" w:cs="Times New Roman"/>
          <w:color w:val="000000" w:themeColor="text1"/>
          <w:sz w:val="24"/>
        </w:rPr>
        <w:t>29 ml/min/1.73 m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>; and stage 5, eGFR of &lt; 15ml/min/1.73m</w:t>
      </w:r>
      <w:r w:rsidRPr="00E4609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E4609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659B265" w14:textId="77777777" w:rsidR="00125E4A" w:rsidRDefault="00125E4A" w:rsidP="00E4609D">
      <w:pPr>
        <w:spacing w:line="480" w:lineRule="auto"/>
        <w:ind w:firstLine="420"/>
        <w:rPr>
          <w:rFonts w:ascii="Times New Roman" w:hAnsi="Times New Roman" w:cs="Times New Roman"/>
          <w:color w:val="000000" w:themeColor="text1"/>
        </w:rPr>
      </w:pPr>
    </w:p>
    <w:bookmarkEnd w:id="5"/>
    <w:p w14:paraId="679F6FE4" w14:textId="757B7E8E" w:rsidR="000E18E8" w:rsidRDefault="00E65280" w:rsidP="00E6528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E65280">
        <w:rPr>
          <w:rFonts w:ascii="Times New Roman" w:hAnsi="Times New Roman" w:cs="Times New Roman"/>
          <w:b/>
          <w:bCs/>
          <w:sz w:val="24"/>
        </w:rPr>
        <w:t>Supplementary Results</w:t>
      </w:r>
    </w:p>
    <w:p w14:paraId="1DB31030" w14:textId="77777777" w:rsidR="00950265" w:rsidRDefault="00950265" w:rsidP="00E6528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5BE82FB8" w14:textId="77777777" w:rsidR="00950265" w:rsidRPr="00950265" w:rsidRDefault="00950265" w:rsidP="00950265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950265">
        <w:rPr>
          <w:rFonts w:ascii="Times New Roman" w:hAnsi="Times New Roman" w:cs="Times New Roman"/>
          <w:b/>
          <w:bCs/>
          <w:i/>
          <w:iCs/>
          <w:color w:val="000000" w:themeColor="text1"/>
        </w:rPr>
        <w:t>Baseline characteristics of participants</w:t>
      </w:r>
    </w:p>
    <w:p w14:paraId="6D23434E" w14:textId="77777777" w:rsidR="00950265" w:rsidRDefault="00950265" w:rsidP="00950265">
      <w:pPr>
        <w:spacing w:line="480" w:lineRule="auto"/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final sample size of our study comprised 6,567 participants, with a mean age of 47.27 ± 17.41 years, and 50.07% being male. The weighted prevalence for MASLD was 51.24% (95% CI, 48.9% – 53.6%, n = 3,474), while for NAFLD, it was 48.36% (95% CI, 46.0% – 50.7%, n = 3,333).</w:t>
      </w:r>
    </w:p>
    <w:p w14:paraId="415A16E9" w14:textId="194C3230" w:rsidR="00E65280" w:rsidRPr="00950265" w:rsidRDefault="00950265" w:rsidP="00E65280">
      <w:pPr>
        <w:spacing w:line="480" w:lineRule="auto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>articipants diagnosed with MASLD were predominantly male (53.27% vs. 46.73%, P = .002) and older in age (average age: 50.71 vs. 43.66 years, P &lt; .001) compared to those without MASLD.</w:t>
      </w:r>
    </w:p>
    <w:sectPr w:rsidR="00E65280" w:rsidRPr="00950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7F"/>
    <w:rsid w:val="00095356"/>
    <w:rsid w:val="000E18E8"/>
    <w:rsid w:val="00125E4A"/>
    <w:rsid w:val="001E09F5"/>
    <w:rsid w:val="004153B2"/>
    <w:rsid w:val="00550C66"/>
    <w:rsid w:val="00661B7F"/>
    <w:rsid w:val="009166AE"/>
    <w:rsid w:val="00950265"/>
    <w:rsid w:val="009556E0"/>
    <w:rsid w:val="009D2201"/>
    <w:rsid w:val="009D3C03"/>
    <w:rsid w:val="00A93AE1"/>
    <w:rsid w:val="00E224B2"/>
    <w:rsid w:val="00E4609D"/>
    <w:rsid w:val="00E6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559B2"/>
  <w15:chartTrackingRefBased/>
  <w15:docId w15:val="{4C030E02-440D-CB47-8F7E-78FDC9CD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857</Words>
  <Characters>5031</Characters>
  <Application>Microsoft Office Word</Application>
  <DocSecurity>0</DocSecurity>
  <Lines>94</Lines>
  <Paragraphs>32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yanhong wang</dc:creator>
  <cp:keywords/>
  <dc:description/>
  <cp:lastModifiedBy>yanhong wang</cp:lastModifiedBy>
  <cp:revision>1</cp:revision>
  <dcterms:created xsi:type="dcterms:W3CDTF">2024-02-29T04:04:00Z</dcterms:created>
  <dcterms:modified xsi:type="dcterms:W3CDTF">2024-03-01T03:42:00Z</dcterms:modified>
</cp:coreProperties>
</file>