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B997EB" w14:textId="77777777" w:rsidR="00927472" w:rsidRPr="000C13CB" w:rsidRDefault="00927472" w:rsidP="00927472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Supplementary Figures and Tables</w:t>
      </w:r>
    </w:p>
    <w:p w14:paraId="2905EA6A" w14:textId="77777777" w:rsidR="00927472" w:rsidRPr="000C13CB" w:rsidRDefault="00927472" w:rsidP="00927472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0DB5330F" wp14:editId="7B7470DB">
            <wp:extent cx="5232416" cy="7520473"/>
            <wp:effectExtent l="0" t="0" r="0" b="0"/>
            <wp:docPr id="170592665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5926659" name="Picture 170592665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8542" cy="7529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EA864" w14:textId="77777777" w:rsidR="00927472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0C13CB">
        <w:rPr>
          <w:rFonts w:ascii="Arial" w:hAnsi="Arial" w:cs="Arial"/>
          <w:b/>
          <w:bCs/>
          <w:sz w:val="22"/>
          <w:szCs w:val="22"/>
        </w:rPr>
        <w:lastRenderedPageBreak/>
        <w:t xml:space="preserve">Figure S1. Bacterial community beta diversity and </w:t>
      </w:r>
      <w:r>
        <w:rPr>
          <w:rFonts w:ascii="Arial" w:hAnsi="Arial" w:cs="Arial"/>
          <w:b/>
          <w:bCs/>
          <w:sz w:val="22"/>
          <w:szCs w:val="22"/>
        </w:rPr>
        <w:t>colonization</w:t>
      </w:r>
      <w:r w:rsidRPr="000C13CB">
        <w:rPr>
          <w:rFonts w:ascii="Arial" w:hAnsi="Arial" w:cs="Arial"/>
          <w:b/>
          <w:bCs/>
          <w:sz w:val="22"/>
          <w:szCs w:val="22"/>
        </w:rPr>
        <w:t xml:space="preserve"> of donor microbiota in recipient mice prior to </w:t>
      </w:r>
      <w:r w:rsidRPr="000C13CB">
        <w:rPr>
          <w:rFonts w:ascii="Arial" w:hAnsi="Arial" w:cs="Arial"/>
          <w:b/>
          <w:bCs/>
          <w:i/>
          <w:iCs/>
          <w:sz w:val="22"/>
          <w:szCs w:val="22"/>
        </w:rPr>
        <w:t>Anaerobutyricum soehngenii</w:t>
      </w:r>
      <w:r w:rsidRPr="000C13CB">
        <w:rPr>
          <w:rFonts w:ascii="Arial" w:hAnsi="Arial" w:cs="Arial"/>
          <w:b/>
          <w:bCs/>
          <w:sz w:val="22"/>
          <w:szCs w:val="22"/>
        </w:rPr>
        <w:t xml:space="preserve"> or heat-killed culture treatment.</w:t>
      </w:r>
      <w:r w:rsidRPr="000C13CB">
        <w:rPr>
          <w:rFonts w:ascii="Arial" w:hAnsi="Arial" w:cs="Arial"/>
          <w:sz w:val="22"/>
          <w:szCs w:val="22"/>
        </w:rPr>
        <w:t xml:space="preserve"> Principal coordinate analysis of unweighted (</w:t>
      </w:r>
      <w:r w:rsidRPr="000C13CB">
        <w:rPr>
          <w:rFonts w:ascii="Arial" w:hAnsi="Arial" w:cs="Arial"/>
          <w:b/>
          <w:bCs/>
          <w:sz w:val="22"/>
          <w:szCs w:val="22"/>
        </w:rPr>
        <w:t>a</w:t>
      </w:r>
      <w:r w:rsidRPr="000C13CB">
        <w:rPr>
          <w:rFonts w:ascii="Arial" w:hAnsi="Arial" w:cs="Arial"/>
          <w:sz w:val="22"/>
          <w:szCs w:val="22"/>
        </w:rPr>
        <w:t>) and weighted (</w:t>
      </w:r>
      <w:r w:rsidRPr="000C13CB">
        <w:rPr>
          <w:rFonts w:ascii="Arial" w:hAnsi="Arial" w:cs="Arial"/>
          <w:b/>
          <w:bCs/>
          <w:sz w:val="22"/>
          <w:szCs w:val="22"/>
        </w:rPr>
        <w:t>b</w:t>
      </w:r>
      <w:r w:rsidRPr="000C13CB">
        <w:rPr>
          <w:rFonts w:ascii="Arial" w:hAnsi="Arial" w:cs="Arial"/>
          <w:sz w:val="22"/>
          <w:szCs w:val="22"/>
        </w:rPr>
        <w:t xml:space="preserve">) UniFrac distances of 16S rRNA gene sequencing profiles of feces collected eight weeks after colonization immediately prior to initializing treatment with </w:t>
      </w:r>
      <w:r w:rsidRPr="00A21269">
        <w:rPr>
          <w:rFonts w:ascii="Arial" w:hAnsi="Arial" w:cs="Arial"/>
          <w:i/>
          <w:iCs/>
          <w:sz w:val="22"/>
          <w:szCs w:val="22"/>
        </w:rPr>
        <w:t>Anaerobutyricum soehngenii</w:t>
      </w:r>
      <w:r>
        <w:rPr>
          <w:rFonts w:ascii="Arial" w:hAnsi="Arial" w:cs="Arial"/>
          <w:sz w:val="22"/>
          <w:szCs w:val="22"/>
        </w:rPr>
        <w:t xml:space="preserve"> (</w:t>
      </w:r>
      <w:r w:rsidRPr="000C13CB">
        <w:rPr>
          <w:rFonts w:ascii="Arial" w:hAnsi="Arial" w:cs="Arial"/>
          <w:sz w:val="22"/>
          <w:szCs w:val="22"/>
        </w:rPr>
        <w:t>AS</w:t>
      </w:r>
      <w:r>
        <w:rPr>
          <w:rFonts w:ascii="Arial" w:hAnsi="Arial" w:cs="Arial"/>
          <w:sz w:val="22"/>
          <w:szCs w:val="22"/>
        </w:rPr>
        <w:t>)</w:t>
      </w:r>
      <w:r w:rsidRPr="000C13CB">
        <w:rPr>
          <w:rFonts w:ascii="Arial" w:hAnsi="Arial" w:cs="Arial"/>
          <w:sz w:val="22"/>
          <w:szCs w:val="22"/>
        </w:rPr>
        <w:t xml:space="preserve"> or </w:t>
      </w:r>
      <w:r w:rsidRPr="00A21269">
        <w:rPr>
          <w:rFonts w:ascii="Arial" w:hAnsi="Arial" w:cs="Arial"/>
          <w:sz w:val="22"/>
          <w:szCs w:val="22"/>
        </w:rPr>
        <w:t xml:space="preserve">heat-killed culture </w:t>
      </w:r>
      <w:r>
        <w:rPr>
          <w:rFonts w:ascii="Arial" w:hAnsi="Arial" w:cs="Arial"/>
          <w:sz w:val="22"/>
          <w:szCs w:val="22"/>
        </w:rPr>
        <w:t>(</w:t>
      </w:r>
      <w:r w:rsidRPr="000C13CB">
        <w:rPr>
          <w:rFonts w:ascii="Arial" w:hAnsi="Arial" w:cs="Arial"/>
          <w:sz w:val="22"/>
          <w:szCs w:val="22"/>
        </w:rPr>
        <w:t>HK</w:t>
      </w:r>
      <w:r>
        <w:rPr>
          <w:rFonts w:ascii="Arial" w:hAnsi="Arial" w:cs="Arial"/>
          <w:sz w:val="22"/>
          <w:szCs w:val="22"/>
        </w:rPr>
        <w:t>)</w:t>
      </w:r>
      <w:r w:rsidRPr="000C13CB">
        <w:rPr>
          <w:rFonts w:ascii="Arial" w:hAnsi="Arial" w:cs="Arial"/>
          <w:sz w:val="22"/>
          <w:szCs w:val="22"/>
        </w:rPr>
        <w:t xml:space="preserve">. At the time of feces collection, all mice were housed in the same cage (n = 9-10 per cage) but had been randomly assigned to go to the AS treatment group (AS-bound) or the HK treatment group (HK-bound). </w:t>
      </w:r>
      <w:r w:rsidRPr="00A21269">
        <w:rPr>
          <w:rFonts w:ascii="Arial" w:hAnsi="Arial" w:cs="Arial"/>
          <w:b/>
          <w:bCs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, Venn-diagram comparisons of amplicon sequence variants (ASVs; left) and genera (right) detected above 0.05% relative abundance in human donor fecal inocula versus recipient mouse feces prior to AS/HK treatment. </w:t>
      </w:r>
      <w:r w:rsidRPr="00A21269">
        <w:rPr>
          <w:rFonts w:ascii="Arial" w:hAnsi="Arial" w:cs="Arial"/>
          <w:b/>
          <w:bCs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, Six weeks after treatment, differential abundance analysis was performed on cecal bacterial community profiles using </w:t>
      </w:r>
      <w:r w:rsidRPr="000C13CB">
        <w:rPr>
          <w:rFonts w:ascii="Arial" w:hAnsi="Arial" w:cs="Arial"/>
          <w:sz w:val="22"/>
          <w:szCs w:val="22"/>
        </w:rPr>
        <w:t>MaAsLin2</w:t>
      </w:r>
      <w:r>
        <w:rPr>
          <w:rFonts w:ascii="Arial" w:hAnsi="Arial" w:cs="Arial"/>
          <w:sz w:val="22"/>
          <w:szCs w:val="22"/>
        </w:rPr>
        <w:t>.</w:t>
      </w:r>
      <w:r w:rsidRPr="000C13C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</w:t>
      </w:r>
      <w:r w:rsidRPr="000C13CB">
        <w:rPr>
          <w:rFonts w:ascii="Arial" w:hAnsi="Arial" w:cs="Arial"/>
          <w:sz w:val="22"/>
          <w:szCs w:val="22"/>
        </w:rPr>
        <w:t>ifferential-abundance effect size</w:t>
      </w:r>
      <w:r>
        <w:rPr>
          <w:rFonts w:ascii="Arial" w:hAnsi="Arial" w:cs="Arial"/>
          <w:sz w:val="22"/>
          <w:szCs w:val="22"/>
        </w:rPr>
        <w:t>s</w:t>
      </w:r>
      <w:r w:rsidRPr="000C13C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are shown (top axis, dots) for</w:t>
      </w:r>
      <w:r w:rsidRPr="000C13CB">
        <w:rPr>
          <w:rFonts w:ascii="Arial" w:hAnsi="Arial" w:cs="Arial"/>
          <w:sz w:val="22"/>
          <w:szCs w:val="22"/>
        </w:rPr>
        <w:t xml:space="preserve"> genus-level features </w:t>
      </w:r>
      <w:r>
        <w:rPr>
          <w:rFonts w:ascii="Arial" w:hAnsi="Arial" w:cs="Arial"/>
          <w:sz w:val="22"/>
          <w:szCs w:val="22"/>
        </w:rPr>
        <w:t>between treatments</w:t>
      </w:r>
      <w:r w:rsidRPr="000C13CB">
        <w:rPr>
          <w:rFonts w:ascii="Arial" w:hAnsi="Arial" w:cs="Arial"/>
          <w:sz w:val="22"/>
          <w:szCs w:val="22"/>
        </w:rPr>
        <w:t xml:space="preserve"> within each donor group. The position of the dot relative to the origin represents the direction and magnitude of the effect (left of origin = higher abundance in AS-treated mice; right of origin = higher abundance in HK-treated mice). The significance of the effect size is indicated by a solid dot (</w:t>
      </w:r>
      <w:r w:rsidRPr="000C13CB">
        <w:rPr>
          <w:rFonts w:ascii="Arial" w:hAnsi="Arial" w:cs="Arial"/>
          <w:i/>
          <w:iCs/>
          <w:sz w:val="22"/>
          <w:szCs w:val="22"/>
        </w:rPr>
        <w:t xml:space="preserve">P </w:t>
      </w:r>
      <w:r w:rsidRPr="000C13CB">
        <w:rPr>
          <w:rFonts w:ascii="Arial" w:hAnsi="Arial" w:cs="Arial"/>
          <w:sz w:val="22"/>
          <w:szCs w:val="22"/>
        </w:rPr>
        <w:t>&lt; 0.05) or an open dot (</w:t>
      </w:r>
      <w:r w:rsidRPr="000C13CB">
        <w:rPr>
          <w:rFonts w:ascii="Arial" w:hAnsi="Arial" w:cs="Arial"/>
          <w:i/>
          <w:iCs/>
          <w:sz w:val="22"/>
          <w:szCs w:val="22"/>
        </w:rPr>
        <w:t xml:space="preserve">P </w:t>
      </w:r>
      <w:r w:rsidRPr="000C13CB">
        <w:rPr>
          <w:rFonts w:ascii="Arial" w:hAnsi="Arial" w:cs="Arial"/>
          <w:sz w:val="22"/>
          <w:szCs w:val="22"/>
        </w:rPr>
        <w:t xml:space="preserve">&gt; 0.05). Relative abundances (bottom axis) of each genus are indicated by the horizontal bars (green = abundance in AS group, pink = abundance in HK group). The first five letters of the family name for each genus are shown in brackets (see Table S3 for </w:t>
      </w:r>
      <w:r>
        <w:rPr>
          <w:rFonts w:ascii="Arial" w:hAnsi="Arial" w:cs="Arial"/>
          <w:sz w:val="22"/>
          <w:szCs w:val="22"/>
        </w:rPr>
        <w:t xml:space="preserve">the </w:t>
      </w:r>
      <w:r w:rsidRPr="000C13CB">
        <w:rPr>
          <w:rFonts w:ascii="Arial" w:hAnsi="Arial" w:cs="Arial"/>
          <w:sz w:val="22"/>
          <w:szCs w:val="22"/>
        </w:rPr>
        <w:t>full name).</w:t>
      </w:r>
    </w:p>
    <w:p w14:paraId="5E8EF3E5" w14:textId="77777777" w:rsidR="00927472" w:rsidRPr="000C13CB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2D2F83CA" w14:textId="77777777" w:rsidR="00927472" w:rsidRPr="000C13CB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3D1A7A6B" wp14:editId="3BD73443">
            <wp:extent cx="5943600" cy="4358640"/>
            <wp:effectExtent l="0" t="0" r="0" b="0"/>
            <wp:docPr id="117825334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8253340" name="Picture 117825334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5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FAFEE" w14:textId="77777777" w:rsidR="00927472" w:rsidRPr="000C13CB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0C13CB">
        <w:rPr>
          <w:rFonts w:ascii="Arial" w:hAnsi="Arial" w:cs="Arial"/>
          <w:b/>
          <w:bCs/>
          <w:sz w:val="22"/>
          <w:szCs w:val="22"/>
        </w:rPr>
        <w:t xml:space="preserve">Figure S2. </w:t>
      </w:r>
      <w:r>
        <w:rPr>
          <w:rFonts w:ascii="Arial" w:hAnsi="Arial" w:cs="Arial"/>
          <w:b/>
          <w:bCs/>
          <w:sz w:val="22"/>
          <w:szCs w:val="22"/>
        </w:rPr>
        <w:t xml:space="preserve">The effect of </w:t>
      </w:r>
      <w:r w:rsidRPr="0090643E">
        <w:rPr>
          <w:rFonts w:ascii="Arial" w:hAnsi="Arial" w:cs="Arial"/>
          <w:b/>
          <w:bCs/>
          <w:i/>
          <w:iCs/>
          <w:sz w:val="22"/>
          <w:szCs w:val="22"/>
        </w:rPr>
        <w:t>Anaerobutyricum soehngenii</w:t>
      </w:r>
      <w:r w:rsidRPr="0090643E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(AS) or heat-killed AS (HK) on fasting blood glucose and body composition</w:t>
      </w:r>
      <w:r w:rsidRPr="000C13CB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in gnotobiotic mice</w:t>
      </w:r>
      <w:r w:rsidRPr="000C13CB">
        <w:rPr>
          <w:rFonts w:ascii="Arial" w:hAnsi="Arial" w:cs="Arial"/>
          <w:b/>
          <w:bCs/>
          <w:sz w:val="22"/>
          <w:szCs w:val="22"/>
        </w:rPr>
        <w:t>.</w:t>
      </w:r>
      <w:r w:rsidRPr="000C13CB">
        <w:rPr>
          <w:rFonts w:ascii="Arial" w:hAnsi="Arial" w:cs="Arial"/>
          <w:sz w:val="22"/>
          <w:szCs w:val="22"/>
        </w:rPr>
        <w:t xml:space="preserve"> Fasting blood glucose levels at the start (0 minutes) of the oGTT (</w:t>
      </w:r>
      <w:r w:rsidRPr="000C13CB">
        <w:rPr>
          <w:rFonts w:ascii="Arial" w:hAnsi="Arial" w:cs="Arial"/>
          <w:b/>
          <w:bCs/>
          <w:sz w:val="22"/>
          <w:szCs w:val="22"/>
        </w:rPr>
        <w:t>a</w:t>
      </w:r>
      <w:r w:rsidRPr="000C13CB">
        <w:rPr>
          <w:rFonts w:ascii="Arial" w:hAnsi="Arial" w:cs="Arial"/>
          <w:sz w:val="22"/>
          <w:szCs w:val="22"/>
        </w:rPr>
        <w:t>) and the ITT (</w:t>
      </w:r>
      <w:r w:rsidRPr="000C13CB">
        <w:rPr>
          <w:rFonts w:ascii="Arial" w:hAnsi="Arial" w:cs="Arial"/>
          <w:b/>
          <w:bCs/>
          <w:sz w:val="22"/>
          <w:szCs w:val="22"/>
        </w:rPr>
        <w:t>b</w:t>
      </w:r>
      <w:r w:rsidRPr="000C13CB">
        <w:rPr>
          <w:rFonts w:ascii="Arial" w:hAnsi="Arial" w:cs="Arial"/>
          <w:sz w:val="22"/>
          <w:szCs w:val="22"/>
        </w:rPr>
        <w:t>) one week later</w:t>
      </w:r>
      <w:r>
        <w:rPr>
          <w:rFonts w:ascii="Arial" w:hAnsi="Arial" w:cs="Arial"/>
          <w:sz w:val="22"/>
          <w:szCs w:val="22"/>
        </w:rPr>
        <w:t>,</w:t>
      </w:r>
      <w:r w:rsidRPr="000C13CB">
        <w:rPr>
          <w:rFonts w:ascii="Arial" w:hAnsi="Arial" w:cs="Arial"/>
          <w:sz w:val="22"/>
          <w:szCs w:val="22"/>
        </w:rPr>
        <w:t xml:space="preserve"> mice </w:t>
      </w:r>
      <w:r>
        <w:rPr>
          <w:rFonts w:ascii="Arial" w:hAnsi="Arial" w:cs="Arial"/>
          <w:sz w:val="22"/>
          <w:szCs w:val="22"/>
        </w:rPr>
        <w:t xml:space="preserve">were </w:t>
      </w:r>
      <w:r w:rsidRPr="000C13CB">
        <w:rPr>
          <w:rFonts w:ascii="Arial" w:hAnsi="Arial" w:cs="Arial"/>
          <w:sz w:val="22"/>
          <w:szCs w:val="22"/>
        </w:rPr>
        <w:t xml:space="preserve">colonized with </w:t>
      </w:r>
      <w:r>
        <w:rPr>
          <w:rFonts w:ascii="Arial" w:hAnsi="Arial" w:cs="Arial"/>
          <w:sz w:val="22"/>
          <w:szCs w:val="22"/>
        </w:rPr>
        <w:t xml:space="preserve">fecal microbiota from </w:t>
      </w:r>
      <w:r w:rsidRPr="000C13CB">
        <w:rPr>
          <w:rFonts w:ascii="Arial" w:hAnsi="Arial" w:cs="Arial"/>
          <w:sz w:val="22"/>
          <w:szCs w:val="22"/>
        </w:rPr>
        <w:t xml:space="preserve">different </w:t>
      </w:r>
      <w:r>
        <w:rPr>
          <w:rFonts w:ascii="Arial" w:hAnsi="Arial" w:cs="Arial"/>
          <w:sz w:val="22"/>
          <w:szCs w:val="22"/>
        </w:rPr>
        <w:t xml:space="preserve">human </w:t>
      </w:r>
      <w:r w:rsidRPr="000C13CB">
        <w:rPr>
          <w:rFonts w:ascii="Arial" w:hAnsi="Arial" w:cs="Arial"/>
          <w:sz w:val="22"/>
          <w:szCs w:val="22"/>
        </w:rPr>
        <w:t>donor</w:t>
      </w:r>
      <w:r>
        <w:rPr>
          <w:rFonts w:ascii="Arial" w:hAnsi="Arial" w:cs="Arial"/>
          <w:sz w:val="22"/>
          <w:szCs w:val="22"/>
        </w:rPr>
        <w:t>s</w:t>
      </w:r>
      <w:r w:rsidRPr="000C13CB">
        <w:rPr>
          <w:rFonts w:ascii="Arial" w:hAnsi="Arial" w:cs="Arial"/>
          <w:sz w:val="22"/>
          <w:szCs w:val="22"/>
        </w:rPr>
        <w:t xml:space="preserve"> (R65, R55, N96, N40) and treated with </w:t>
      </w:r>
      <w:r>
        <w:rPr>
          <w:rFonts w:ascii="Arial" w:hAnsi="Arial" w:cs="Arial"/>
          <w:sz w:val="22"/>
          <w:szCs w:val="22"/>
        </w:rPr>
        <w:t xml:space="preserve">either </w:t>
      </w:r>
      <w:r w:rsidRPr="000C13CB">
        <w:rPr>
          <w:rFonts w:ascii="Arial" w:hAnsi="Arial" w:cs="Arial"/>
          <w:sz w:val="22"/>
          <w:szCs w:val="22"/>
        </w:rPr>
        <w:t xml:space="preserve">live </w:t>
      </w:r>
      <w:r w:rsidRPr="0090643E">
        <w:rPr>
          <w:rFonts w:ascii="Arial" w:hAnsi="Arial" w:cs="Arial"/>
          <w:sz w:val="22"/>
          <w:szCs w:val="22"/>
        </w:rPr>
        <w:t>AS</w:t>
      </w:r>
      <w:r w:rsidRPr="000C13CB">
        <w:rPr>
          <w:rFonts w:ascii="Arial" w:hAnsi="Arial" w:cs="Arial"/>
          <w:sz w:val="22"/>
          <w:szCs w:val="22"/>
        </w:rPr>
        <w:t xml:space="preserve"> (circles) or </w:t>
      </w:r>
      <w:r>
        <w:rPr>
          <w:rFonts w:ascii="Arial" w:hAnsi="Arial" w:cs="Arial"/>
          <w:sz w:val="22"/>
          <w:szCs w:val="22"/>
        </w:rPr>
        <w:t>HK</w:t>
      </w:r>
      <w:r w:rsidRPr="000C13CB">
        <w:rPr>
          <w:rFonts w:ascii="Arial" w:hAnsi="Arial" w:cs="Arial"/>
          <w:sz w:val="22"/>
          <w:szCs w:val="22"/>
        </w:rPr>
        <w:t xml:space="preserve"> (triangles). Measurements of body weight (</w:t>
      </w:r>
      <w:r w:rsidRPr="000C13CB">
        <w:rPr>
          <w:rFonts w:ascii="Arial" w:hAnsi="Arial" w:cs="Arial"/>
          <w:b/>
          <w:bCs/>
          <w:sz w:val="22"/>
          <w:szCs w:val="22"/>
        </w:rPr>
        <w:t>c</w:t>
      </w:r>
      <w:r w:rsidRPr="000C13CB">
        <w:rPr>
          <w:rFonts w:ascii="Arial" w:hAnsi="Arial" w:cs="Arial"/>
          <w:sz w:val="22"/>
          <w:szCs w:val="22"/>
        </w:rPr>
        <w:t>), liver mass (</w:t>
      </w:r>
      <w:r w:rsidRPr="000C13CB">
        <w:rPr>
          <w:rFonts w:ascii="Arial" w:hAnsi="Arial" w:cs="Arial"/>
          <w:b/>
          <w:bCs/>
          <w:sz w:val="22"/>
          <w:szCs w:val="22"/>
        </w:rPr>
        <w:t>d</w:t>
      </w:r>
      <w:r w:rsidRPr="000C13CB">
        <w:rPr>
          <w:rFonts w:ascii="Arial" w:hAnsi="Arial" w:cs="Arial"/>
          <w:sz w:val="22"/>
          <w:szCs w:val="22"/>
        </w:rPr>
        <w:t>), and epididymal fat mass (</w:t>
      </w:r>
      <w:r w:rsidRPr="000C13CB">
        <w:rPr>
          <w:rFonts w:ascii="Arial" w:hAnsi="Arial" w:cs="Arial"/>
          <w:b/>
          <w:bCs/>
          <w:sz w:val="22"/>
          <w:szCs w:val="22"/>
        </w:rPr>
        <w:t>e</w:t>
      </w:r>
      <w:r w:rsidRPr="000C13CB">
        <w:rPr>
          <w:rFonts w:ascii="Arial" w:hAnsi="Arial" w:cs="Arial"/>
          <w:sz w:val="22"/>
          <w:szCs w:val="22"/>
        </w:rPr>
        <w:t>) collected upon sacrifice, one week after ITT. Comparisons of means were conducted using Student’s T-test between treatment groups within each donor group. Significance is indicated by * (</w:t>
      </w:r>
      <w:r w:rsidRPr="000C13CB">
        <w:rPr>
          <w:rFonts w:ascii="Arial" w:hAnsi="Arial" w:cs="Arial"/>
          <w:i/>
          <w:iCs/>
          <w:sz w:val="22"/>
          <w:szCs w:val="22"/>
        </w:rPr>
        <w:t>P</w:t>
      </w:r>
      <w:r w:rsidRPr="000C13CB">
        <w:rPr>
          <w:rFonts w:ascii="Arial" w:hAnsi="Arial" w:cs="Arial"/>
          <w:sz w:val="22"/>
          <w:szCs w:val="22"/>
        </w:rPr>
        <w:t xml:space="preserve"> &lt; 0.05), ** (</w:t>
      </w:r>
      <w:r w:rsidRPr="000C13CB">
        <w:rPr>
          <w:rFonts w:ascii="Arial" w:hAnsi="Arial" w:cs="Arial"/>
          <w:i/>
          <w:iCs/>
          <w:sz w:val="22"/>
          <w:szCs w:val="22"/>
        </w:rPr>
        <w:t>P</w:t>
      </w:r>
      <w:r w:rsidRPr="000C13CB">
        <w:rPr>
          <w:rFonts w:ascii="Arial" w:hAnsi="Arial" w:cs="Arial"/>
          <w:sz w:val="22"/>
          <w:szCs w:val="22"/>
        </w:rPr>
        <w:t xml:space="preserve"> &lt; 0.01). </w:t>
      </w:r>
      <w:r>
        <w:rPr>
          <w:rFonts w:ascii="Arial" w:hAnsi="Arial" w:cs="Arial"/>
          <w:sz w:val="22"/>
          <w:szCs w:val="22"/>
        </w:rPr>
        <w:t>n</w:t>
      </w:r>
      <w:r w:rsidRPr="000C13CB">
        <w:rPr>
          <w:rFonts w:ascii="Arial" w:hAnsi="Arial" w:cs="Arial"/>
          <w:sz w:val="22"/>
          <w:szCs w:val="22"/>
        </w:rPr>
        <w:t xml:space="preserve"> = 4-5/group.</w:t>
      </w:r>
    </w:p>
    <w:p w14:paraId="2A6D053E" w14:textId="77777777" w:rsidR="00927472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336EF5D0" w14:textId="77777777" w:rsidR="00927472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49FCBC91" wp14:editId="7FDAD26D">
            <wp:extent cx="4702629" cy="2992582"/>
            <wp:effectExtent l="0" t="0" r="0" b="5080"/>
            <wp:docPr id="149901201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012010" name="Picture 1499012010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9264" cy="3003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901AE" w14:textId="77777777" w:rsidR="00927472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0C13CB">
        <w:rPr>
          <w:rFonts w:ascii="Arial" w:hAnsi="Arial" w:cs="Arial"/>
          <w:b/>
          <w:bCs/>
          <w:sz w:val="22"/>
          <w:szCs w:val="22"/>
        </w:rPr>
        <w:t>Figure S</w:t>
      </w:r>
      <w:r>
        <w:rPr>
          <w:rFonts w:ascii="Arial" w:hAnsi="Arial" w:cs="Arial"/>
          <w:b/>
          <w:bCs/>
          <w:sz w:val="22"/>
          <w:szCs w:val="22"/>
        </w:rPr>
        <w:t>3</w:t>
      </w:r>
      <w:r w:rsidRPr="000C13CB">
        <w:rPr>
          <w:rFonts w:ascii="Arial" w:hAnsi="Arial" w:cs="Arial"/>
          <w:b/>
          <w:bCs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sz w:val="22"/>
          <w:szCs w:val="22"/>
        </w:rPr>
        <w:t>The effect of tripropionin on adipose deposits, intestinal length and liver cholesterol content of conventionally raised mice</w:t>
      </w:r>
      <w:r w:rsidRPr="000C13CB">
        <w:rPr>
          <w:rFonts w:ascii="Arial" w:hAnsi="Arial" w:cs="Arial"/>
          <w:b/>
          <w:bCs/>
          <w:sz w:val="22"/>
          <w:szCs w:val="22"/>
        </w:rPr>
        <w:t>.</w:t>
      </w:r>
      <w:r w:rsidRPr="00542E6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Conventionally-raised male mice were treated with either </w:t>
      </w:r>
      <w:r w:rsidRPr="00542E62">
        <w:rPr>
          <w:rFonts w:ascii="Arial" w:hAnsi="Arial" w:cs="Arial"/>
          <w:sz w:val="22"/>
          <w:szCs w:val="22"/>
        </w:rPr>
        <w:t>tripropionin</w:t>
      </w:r>
      <w:r>
        <w:rPr>
          <w:rFonts w:ascii="Arial" w:hAnsi="Arial" w:cs="Arial"/>
          <w:sz w:val="22"/>
          <w:szCs w:val="22"/>
        </w:rPr>
        <w:t xml:space="preserve"> (TP) diet or glycerol control (GC) diet for 13 weeks (n=6</w:t>
      </w:r>
      <w:r w:rsidRPr="000C13CB">
        <w:rPr>
          <w:rFonts w:ascii="Arial" w:hAnsi="Arial" w:cs="Arial"/>
          <w:sz w:val="22"/>
          <w:szCs w:val="22"/>
        </w:rPr>
        <w:t>/group</w:t>
      </w:r>
      <w:r>
        <w:rPr>
          <w:rFonts w:ascii="Arial" w:hAnsi="Arial" w:cs="Arial"/>
          <w:sz w:val="22"/>
          <w:szCs w:val="22"/>
        </w:rPr>
        <w:t>)</w:t>
      </w:r>
      <w:r w:rsidRPr="000C13CB">
        <w:rPr>
          <w:rFonts w:ascii="Arial" w:hAnsi="Arial" w:cs="Arial"/>
          <w:sz w:val="22"/>
          <w:szCs w:val="22"/>
        </w:rPr>
        <w:t xml:space="preserve"> </w:t>
      </w:r>
      <w:r w:rsidRPr="00195A1A">
        <w:rPr>
          <w:rFonts w:ascii="Arial" w:hAnsi="Arial" w:cs="Arial"/>
          <w:b/>
          <w:bCs/>
          <w:sz w:val="22"/>
          <w:szCs w:val="22"/>
        </w:rPr>
        <w:t>a-c</w:t>
      </w:r>
      <w:r>
        <w:rPr>
          <w:rFonts w:ascii="Arial" w:hAnsi="Arial" w:cs="Arial"/>
          <w:sz w:val="22"/>
          <w:szCs w:val="22"/>
        </w:rPr>
        <w:t xml:space="preserve">, weight of brown adipose tissue (BAT), inguinal white adipose tissue (iWAT) and gonadal white adipose tissue (gWAT) expressed as a percentage of body weight.  </w:t>
      </w:r>
      <w:r w:rsidRPr="00195A1A">
        <w:rPr>
          <w:rFonts w:ascii="Arial" w:hAnsi="Arial" w:cs="Arial"/>
          <w:b/>
          <w:bCs/>
          <w:sz w:val="22"/>
          <w:szCs w:val="22"/>
        </w:rPr>
        <w:t>d-e</w:t>
      </w:r>
      <w:r>
        <w:rPr>
          <w:rFonts w:ascii="Arial" w:hAnsi="Arial" w:cs="Arial"/>
          <w:sz w:val="22"/>
          <w:szCs w:val="22"/>
        </w:rPr>
        <w:t xml:space="preserve">, length of the small intestine and colon in cm normalized to body weight. </w:t>
      </w:r>
      <w:r w:rsidRPr="007A0B97">
        <w:rPr>
          <w:rFonts w:ascii="Arial" w:hAnsi="Arial" w:cs="Arial"/>
          <w:b/>
          <w:bCs/>
          <w:sz w:val="22"/>
          <w:szCs w:val="22"/>
        </w:rPr>
        <w:t>f</w:t>
      </w:r>
      <w:r>
        <w:rPr>
          <w:rFonts w:ascii="Arial" w:hAnsi="Arial" w:cs="Arial"/>
          <w:sz w:val="22"/>
          <w:szCs w:val="22"/>
        </w:rPr>
        <w:t>, Liver total cholesterol (TC) (n</w:t>
      </w:r>
      <w:r w:rsidRPr="000C13CB">
        <w:rPr>
          <w:rFonts w:ascii="Arial" w:hAnsi="Arial" w:cs="Arial"/>
          <w:sz w:val="22"/>
          <w:szCs w:val="22"/>
        </w:rPr>
        <w:t xml:space="preserve"> = 4-</w:t>
      </w:r>
      <w:r>
        <w:rPr>
          <w:rFonts w:ascii="Arial" w:hAnsi="Arial" w:cs="Arial"/>
          <w:sz w:val="22"/>
          <w:szCs w:val="22"/>
        </w:rPr>
        <w:t>6</w:t>
      </w:r>
      <w:r w:rsidRPr="000C13CB">
        <w:rPr>
          <w:rFonts w:ascii="Arial" w:hAnsi="Arial" w:cs="Arial"/>
          <w:sz w:val="22"/>
          <w:szCs w:val="22"/>
        </w:rPr>
        <w:t>/group</w:t>
      </w:r>
      <w:r>
        <w:rPr>
          <w:rFonts w:ascii="Arial" w:hAnsi="Arial" w:cs="Arial"/>
          <w:sz w:val="22"/>
          <w:szCs w:val="22"/>
        </w:rPr>
        <w:t>)</w:t>
      </w:r>
      <w:r w:rsidRPr="000C13CB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Pr="000C13CB">
        <w:rPr>
          <w:rFonts w:ascii="Arial" w:hAnsi="Arial" w:cs="Arial"/>
          <w:sz w:val="22"/>
          <w:szCs w:val="22"/>
        </w:rPr>
        <w:t>Significance is indicated by * (</w:t>
      </w:r>
      <w:r w:rsidRPr="000C13CB">
        <w:rPr>
          <w:rFonts w:ascii="Arial" w:hAnsi="Arial" w:cs="Arial"/>
          <w:i/>
          <w:iCs/>
          <w:sz w:val="22"/>
          <w:szCs w:val="22"/>
        </w:rPr>
        <w:t>P</w:t>
      </w:r>
      <w:r w:rsidRPr="000C13CB">
        <w:rPr>
          <w:rFonts w:ascii="Arial" w:hAnsi="Arial" w:cs="Arial"/>
          <w:sz w:val="22"/>
          <w:szCs w:val="22"/>
        </w:rPr>
        <w:t xml:space="preserve"> &lt; 0.05), ** (</w:t>
      </w:r>
      <w:r w:rsidRPr="000C13CB">
        <w:rPr>
          <w:rFonts w:ascii="Arial" w:hAnsi="Arial" w:cs="Arial"/>
          <w:i/>
          <w:iCs/>
          <w:sz w:val="22"/>
          <w:szCs w:val="22"/>
        </w:rPr>
        <w:t>P</w:t>
      </w:r>
      <w:r w:rsidRPr="000C13CB">
        <w:rPr>
          <w:rFonts w:ascii="Arial" w:hAnsi="Arial" w:cs="Arial"/>
          <w:sz w:val="22"/>
          <w:szCs w:val="22"/>
        </w:rPr>
        <w:t xml:space="preserve"> &lt; 0.01). </w:t>
      </w:r>
      <w:r>
        <w:rPr>
          <w:rFonts w:ascii="Arial" w:hAnsi="Arial" w:cs="Arial"/>
          <w:sz w:val="22"/>
          <w:szCs w:val="22"/>
        </w:rPr>
        <w:t xml:space="preserve"> </w:t>
      </w:r>
    </w:p>
    <w:p w14:paraId="1A22573D" w14:textId="77777777" w:rsidR="00927472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32798FA2" w14:textId="77777777" w:rsidR="00927472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7C8816D6" w14:textId="77777777" w:rsidR="00927472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0BE0F98B" w14:textId="77777777" w:rsidR="00927472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50D20F41" w14:textId="77777777" w:rsidR="00927472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25A00E93" w14:textId="77777777" w:rsidR="00927472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085BEEB4" w14:textId="77777777" w:rsidR="00927472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49E125F0" w14:textId="77777777" w:rsidR="00927472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8A1D08">
        <w:rPr>
          <w:rFonts w:ascii="Arial" w:hAnsi="Arial" w:cs="Arial"/>
          <w:b/>
          <w:bCs/>
          <w:sz w:val="22"/>
          <w:szCs w:val="22"/>
        </w:rPr>
        <w:t xml:space="preserve">Supplementary Table S1. </w:t>
      </w:r>
      <w:r w:rsidRPr="008A1D08">
        <w:rPr>
          <w:rFonts w:ascii="Arial" w:hAnsi="Arial" w:cs="Arial"/>
          <w:sz w:val="22"/>
          <w:szCs w:val="22"/>
        </w:rPr>
        <w:t>Spearman correlation rho (</w:t>
      </w:r>
      <w:r w:rsidRPr="008A1D08">
        <w:rPr>
          <w:rFonts w:ascii="Arial" w:hAnsi="Arial" w:cs="Arial"/>
          <w:b/>
          <w:bCs/>
          <w:sz w:val="22"/>
          <w:szCs w:val="22"/>
          <w:lang w:val="el-GR"/>
        </w:rPr>
        <w:t>ρ</w:t>
      </w:r>
      <w:r w:rsidRPr="008A1D08">
        <w:rPr>
          <w:rFonts w:ascii="Arial" w:hAnsi="Arial" w:cs="Arial"/>
          <w:sz w:val="22"/>
          <w:szCs w:val="22"/>
        </w:rPr>
        <w:t xml:space="preserve">) coefficients, </w:t>
      </w:r>
      <w:r w:rsidRPr="008A1D08">
        <w:rPr>
          <w:rFonts w:ascii="Arial" w:hAnsi="Arial" w:cs="Arial"/>
          <w:i/>
          <w:iCs/>
          <w:sz w:val="22"/>
          <w:szCs w:val="22"/>
        </w:rPr>
        <w:t>P-</w:t>
      </w:r>
      <w:r w:rsidRPr="008A1D08">
        <w:rPr>
          <w:rFonts w:ascii="Arial" w:hAnsi="Arial" w:cs="Arial"/>
          <w:sz w:val="22"/>
          <w:szCs w:val="22"/>
        </w:rPr>
        <w:t xml:space="preserve">values, and adjusted </w:t>
      </w:r>
      <w:r w:rsidRPr="008A1D08">
        <w:rPr>
          <w:rFonts w:ascii="Arial" w:hAnsi="Arial" w:cs="Arial"/>
          <w:i/>
          <w:iCs/>
          <w:sz w:val="22"/>
          <w:szCs w:val="22"/>
        </w:rPr>
        <w:t>P-</w:t>
      </w:r>
      <w:r w:rsidRPr="008A1D08">
        <w:rPr>
          <w:rFonts w:ascii="Arial" w:hAnsi="Arial" w:cs="Arial"/>
          <w:sz w:val="22"/>
          <w:szCs w:val="22"/>
        </w:rPr>
        <w:t>values (fdr) of cecal SCFA levels vs AUCs for oGTT and ITT within each donor group.</w:t>
      </w:r>
    </w:p>
    <w:p w14:paraId="5D794B04" w14:textId="77777777" w:rsidR="00927472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8A1D08"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08C791F1" wp14:editId="6B368538">
            <wp:extent cx="5943600" cy="1381760"/>
            <wp:effectExtent l="0" t="0" r="0" b="0"/>
            <wp:docPr id="1506198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1984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8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3FC8B3" w14:textId="77777777" w:rsidR="00927472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57033240" w14:textId="77777777" w:rsidR="00927472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30AB9612" w14:textId="77777777" w:rsidR="00927472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8A1D08">
        <w:rPr>
          <w:rFonts w:ascii="Arial" w:hAnsi="Arial" w:cs="Arial"/>
          <w:b/>
          <w:bCs/>
          <w:sz w:val="22"/>
          <w:szCs w:val="22"/>
        </w:rPr>
        <w:t>Supplementary Table S2.</w:t>
      </w:r>
      <w:r w:rsidRPr="008A1D08">
        <w:rPr>
          <w:rFonts w:ascii="Arial" w:hAnsi="Arial" w:cs="Arial"/>
          <w:sz w:val="22"/>
          <w:szCs w:val="22"/>
        </w:rPr>
        <w:t xml:space="preserve"> Composition of diets. All diets were irradiated and vacuum-packed.</w:t>
      </w:r>
    </w:p>
    <w:p w14:paraId="41A8FBB1" w14:textId="77777777" w:rsidR="00927472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8A1D08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25A197CD" wp14:editId="43496106">
            <wp:extent cx="5943600" cy="3258185"/>
            <wp:effectExtent l="0" t="0" r="0" b="0"/>
            <wp:docPr id="9319235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92356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5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C9643" w14:textId="77777777" w:rsidR="00927472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65AD3D76" w14:textId="77777777" w:rsidR="00927472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421BCFC1" w14:textId="77777777" w:rsidR="00927472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3FFDEA91" w14:textId="77777777" w:rsidR="00927472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0B1C9326" w14:textId="77777777" w:rsidR="00927472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6245BD71" w14:textId="77777777" w:rsidR="00927472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8A1D08">
        <w:rPr>
          <w:rFonts w:ascii="Arial" w:hAnsi="Arial" w:cs="Arial"/>
          <w:b/>
          <w:bCs/>
          <w:sz w:val="22"/>
          <w:szCs w:val="22"/>
        </w:rPr>
        <w:t>Supplemental Table S3.</w:t>
      </w:r>
      <w:r w:rsidRPr="008A1D08">
        <w:rPr>
          <w:rFonts w:ascii="Arial" w:hAnsi="Arial" w:cs="Arial"/>
          <w:sz w:val="22"/>
          <w:szCs w:val="22"/>
        </w:rPr>
        <w:t xml:space="preserve"> List of family-level abbreviations of bacterial classifications used in Figure 2.</w:t>
      </w:r>
    </w:p>
    <w:p w14:paraId="28819170" w14:textId="77777777" w:rsidR="00927472" w:rsidRPr="000C13CB" w:rsidRDefault="00927472" w:rsidP="00927472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8A1D08"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711BFCF1" wp14:editId="59C39A9E">
            <wp:extent cx="3860800" cy="4191000"/>
            <wp:effectExtent l="0" t="0" r="0" b="0"/>
            <wp:docPr id="13692005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920054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60800" cy="419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218BEC" w14:textId="77777777" w:rsidR="003A2514" w:rsidRDefault="003A2514"/>
    <w:sectPr w:rsidR="003A2514" w:rsidSect="00E04E5A">
      <w:headerReference w:type="even" r:id="rId10"/>
      <w:headerReference w:type="default" r:id="rId11"/>
      <w:footerReference w:type="default" r:id="rId12"/>
      <w:headerReference w:type="first" r:id="rId13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95F6ED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513339371"/>
      <w:docPartObj>
        <w:docPartGallery w:val="Page Numbers (Top of Page)"/>
        <w:docPartUnique/>
      </w:docPartObj>
    </w:sdtPr>
    <w:sdtContent>
      <w:p w14:paraId="400F7CFC" w14:textId="77777777" w:rsidR="00000000" w:rsidRDefault="00000000" w:rsidP="006D3FF7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206</w:t>
        </w:r>
        <w:r>
          <w:rPr>
            <w:rStyle w:val="PageNumber"/>
          </w:rPr>
          <w:fldChar w:fldCharType="end"/>
        </w:r>
      </w:p>
    </w:sdtContent>
  </w:sdt>
  <w:p w14:paraId="2D3AA45E" w14:textId="77777777" w:rsidR="00000000" w:rsidRDefault="00000000" w:rsidP="001F1CD3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583332255"/>
      <w:docPartObj>
        <w:docPartGallery w:val="Page Numbers (Top of Page)"/>
        <w:docPartUnique/>
      </w:docPartObj>
    </w:sdtPr>
    <w:sdtContent>
      <w:p w14:paraId="1B60EBEF" w14:textId="77777777" w:rsidR="00000000" w:rsidRDefault="00000000" w:rsidP="006D3FF7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239</w:t>
        </w:r>
        <w:r>
          <w:rPr>
            <w:rStyle w:val="PageNumber"/>
          </w:rPr>
          <w:fldChar w:fldCharType="end"/>
        </w:r>
      </w:p>
    </w:sdtContent>
  </w:sdt>
  <w:p w14:paraId="7047E4F2" w14:textId="77777777" w:rsidR="00000000" w:rsidRDefault="00000000" w:rsidP="001F1CD3">
    <w:pPr>
      <w:pStyle w:val="Header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40260722"/>
      <w:docPartObj>
        <w:docPartGallery w:val="Page Numbers (Top of Page)"/>
        <w:docPartUnique/>
      </w:docPartObj>
    </w:sdtPr>
    <w:sdtContent>
      <w:p w14:paraId="116B5DAF" w14:textId="77777777" w:rsidR="00000000" w:rsidRDefault="00000000" w:rsidP="00982C11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i</w:t>
        </w:r>
        <w:r>
          <w:rPr>
            <w:rStyle w:val="PageNumber"/>
          </w:rPr>
          <w:fldChar w:fldCharType="end"/>
        </w:r>
      </w:p>
    </w:sdtContent>
  </w:sdt>
  <w:p w14:paraId="5EF5AF4E" w14:textId="77777777" w:rsidR="00000000" w:rsidRDefault="00000000" w:rsidP="00383F17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472"/>
    <w:rsid w:val="001B533D"/>
    <w:rsid w:val="003A2514"/>
    <w:rsid w:val="00927472"/>
    <w:rsid w:val="00E0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B332D"/>
  <w15:chartTrackingRefBased/>
  <w15:docId w15:val="{DBAC9B15-972C-472B-A4AD-64A43B1AD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7472"/>
    <w:pPr>
      <w:spacing w:after="0" w:line="240" w:lineRule="auto"/>
    </w:pPr>
    <w:rPr>
      <w:rFonts w:ascii="Times" w:hAnsi="Tim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747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7472"/>
    <w:rPr>
      <w:rFonts w:ascii="Times" w:hAnsi="Times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927472"/>
  </w:style>
  <w:style w:type="paragraph" w:styleId="Footer">
    <w:name w:val="footer"/>
    <w:basedOn w:val="Normal"/>
    <w:link w:val="FooterChar"/>
    <w:uiPriority w:val="99"/>
    <w:unhideWhenUsed/>
    <w:rsid w:val="00927472"/>
    <w:pPr>
      <w:tabs>
        <w:tab w:val="center" w:pos="4680"/>
        <w:tab w:val="right" w:pos="9360"/>
      </w:tabs>
    </w:pPr>
    <w:rPr>
      <w:rFonts w:eastAsiaTheme="minorEastAsia"/>
      <w:kern w:val="0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927472"/>
    <w:rPr>
      <w:rFonts w:ascii="Times" w:eastAsiaTheme="minorEastAsia" w:hAnsi="Times"/>
      <w:kern w:val="0"/>
      <w:sz w:val="24"/>
      <w:szCs w:val="24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9274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header" Target="header2.xml"/><Relationship Id="rId5" Type="http://schemas.openxmlformats.org/officeDocument/2006/relationships/image" Target="media/image2.emf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517</Words>
  <Characters>2950</Characters>
  <Application>Microsoft Office Word</Application>
  <DocSecurity>0</DocSecurity>
  <Lines>24</Lines>
  <Paragraphs>6</Paragraphs>
  <ScaleCrop>false</ScaleCrop>
  <Company>Springer Nature</Company>
  <LinksUpToDate>false</LinksUpToDate>
  <CharactersWithSpaces>3461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2024-05-02T03:34:00Z</dcterms:created>
  <dcterms:modified xsi:type="dcterms:W3CDTF">2024-05-02T03:35:00Z</dcterms:modified>
</cp:coreProperties>
</file>