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406C4" w14:textId="77777777" w:rsidR="00576F28" w:rsidRPr="00D36A1F" w:rsidRDefault="00576F28" w:rsidP="00576F28">
      <w:pPr>
        <w:spacing w:after="0" w:line="360" w:lineRule="auto"/>
        <w:rPr>
          <w:rFonts w:ascii="Arial" w:hAnsi="Arial" w:cs="Arial"/>
        </w:rPr>
      </w:pPr>
      <w:r w:rsidRPr="00D36A1F">
        <w:rPr>
          <w:noProof/>
        </w:rPr>
        <w:drawing>
          <wp:inline distT="0" distB="0" distL="0" distR="0" wp14:anchorId="467429B1" wp14:editId="71704F41">
            <wp:extent cx="5769610" cy="8333740"/>
            <wp:effectExtent l="0" t="0" r="2540" b="0"/>
            <wp:docPr id="84434864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348645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9610" cy="833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4628D" w14:textId="77777777" w:rsidR="00576F28" w:rsidRPr="00D36A1F" w:rsidRDefault="00576F28" w:rsidP="00576F28">
      <w:pPr>
        <w:spacing w:after="0" w:line="360" w:lineRule="auto"/>
        <w:rPr>
          <w:rFonts w:ascii="Arial" w:hAnsi="Arial" w:cs="Arial"/>
        </w:rPr>
      </w:pPr>
      <w:r w:rsidRPr="00D36A1F">
        <w:rPr>
          <w:noProof/>
        </w:rPr>
        <w:lastRenderedPageBreak/>
        <w:drawing>
          <wp:inline distT="0" distB="0" distL="0" distR="0" wp14:anchorId="7C9D564A" wp14:editId="3B044174">
            <wp:extent cx="5769610" cy="8333740"/>
            <wp:effectExtent l="0" t="0" r="2540" b="0"/>
            <wp:docPr id="50027864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278640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9610" cy="833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56A6D" w14:textId="77777777" w:rsidR="00576F28" w:rsidRPr="00D36A1F" w:rsidRDefault="00576F28" w:rsidP="00576F28">
      <w:pPr>
        <w:spacing w:after="0" w:line="360" w:lineRule="auto"/>
        <w:rPr>
          <w:rFonts w:ascii="Arial" w:hAnsi="Arial" w:cs="Arial"/>
        </w:rPr>
      </w:pPr>
      <w:r w:rsidRPr="00D36A1F">
        <w:rPr>
          <w:noProof/>
        </w:rPr>
        <w:lastRenderedPageBreak/>
        <w:drawing>
          <wp:inline distT="0" distB="0" distL="0" distR="0" wp14:anchorId="2D4FE0A0" wp14:editId="6C6919A9">
            <wp:extent cx="5769610" cy="8333740"/>
            <wp:effectExtent l="0" t="0" r="2540" b="0"/>
            <wp:docPr id="105648958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489582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9610" cy="833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0C212" w14:textId="77777777" w:rsidR="00576F28" w:rsidRPr="00D36A1F" w:rsidRDefault="00576F28" w:rsidP="00576F28">
      <w:pPr>
        <w:spacing w:after="0" w:line="360" w:lineRule="auto"/>
        <w:rPr>
          <w:rFonts w:ascii="Arial" w:hAnsi="Arial" w:cs="Arial"/>
        </w:rPr>
      </w:pPr>
      <w:r w:rsidRPr="00D36A1F">
        <w:rPr>
          <w:noProof/>
        </w:rPr>
        <w:lastRenderedPageBreak/>
        <w:drawing>
          <wp:inline distT="0" distB="0" distL="0" distR="0" wp14:anchorId="170A69CC" wp14:editId="05898543">
            <wp:extent cx="5769610" cy="8333740"/>
            <wp:effectExtent l="0" t="0" r="2540" b="0"/>
            <wp:docPr id="27772651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726516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9610" cy="833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20AB9" w14:textId="77777777" w:rsidR="00576F28" w:rsidRPr="00D36A1F" w:rsidRDefault="00576F28" w:rsidP="00576F28">
      <w:pPr>
        <w:spacing w:after="0" w:line="360" w:lineRule="auto"/>
        <w:rPr>
          <w:rFonts w:ascii="Arial" w:hAnsi="Arial" w:cs="Arial"/>
        </w:rPr>
      </w:pPr>
      <w:r w:rsidRPr="00D36A1F">
        <w:rPr>
          <w:noProof/>
        </w:rPr>
        <w:lastRenderedPageBreak/>
        <w:drawing>
          <wp:inline distT="0" distB="0" distL="0" distR="0" wp14:anchorId="07CA2021" wp14:editId="703F3BB9">
            <wp:extent cx="5769610" cy="8333740"/>
            <wp:effectExtent l="0" t="0" r="2540" b="0"/>
            <wp:docPr id="205483958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839583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9610" cy="833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C6E03" w14:textId="1E02D491" w:rsidR="00755780" w:rsidRDefault="00576F28" w:rsidP="00576F28">
      <w:pPr>
        <w:spacing w:after="0" w:line="360" w:lineRule="auto"/>
        <w:rPr>
          <w:rFonts w:ascii="Arial" w:hAnsi="Arial" w:cs="Arial"/>
        </w:rPr>
      </w:pPr>
      <w:r w:rsidRPr="00D36A1F">
        <w:rPr>
          <w:noProof/>
        </w:rPr>
        <w:lastRenderedPageBreak/>
        <w:drawing>
          <wp:inline distT="0" distB="0" distL="0" distR="0" wp14:anchorId="44E308B7" wp14:editId="54D22C85">
            <wp:extent cx="5769610" cy="8333740"/>
            <wp:effectExtent l="0" t="0" r="2540" b="0"/>
            <wp:docPr id="127004764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047645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9610" cy="833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600C9" w14:textId="77777777" w:rsidR="00C85BBB" w:rsidRPr="00D36A1F" w:rsidRDefault="00C85BBB" w:rsidP="00C85BBB">
      <w:pPr>
        <w:spacing w:after="0" w:line="360" w:lineRule="auto"/>
        <w:rPr>
          <w:rFonts w:ascii="Arial" w:hAnsi="Arial" w:cs="Arial"/>
          <w:b/>
          <w:bCs/>
        </w:rPr>
      </w:pPr>
      <w:r w:rsidRPr="00D36A1F">
        <w:rPr>
          <w:rFonts w:ascii="Arial" w:hAnsi="Arial" w:cs="Arial"/>
          <w:b/>
          <w:bCs/>
        </w:rPr>
        <w:lastRenderedPageBreak/>
        <w:t>Supplementary Figure 1</w:t>
      </w:r>
    </w:p>
    <w:p w14:paraId="4928F6C3" w14:textId="77777777" w:rsidR="00C85BBB" w:rsidRPr="00D36A1F" w:rsidRDefault="00C85BBB" w:rsidP="00C85BBB">
      <w:pPr>
        <w:spacing w:after="0" w:line="360" w:lineRule="auto"/>
        <w:rPr>
          <w:rFonts w:ascii="Arial" w:hAnsi="Arial" w:cs="Arial"/>
        </w:rPr>
      </w:pPr>
      <w:r w:rsidRPr="00D36A1F">
        <w:rPr>
          <w:rFonts w:ascii="Arial" w:hAnsi="Arial" w:cs="Arial"/>
        </w:rPr>
        <w:t>Additional data for the expression of Caspase 4/5 (</w:t>
      </w:r>
      <w:r w:rsidRPr="00D36A1F">
        <w:rPr>
          <w:rFonts w:ascii="Arial" w:hAnsi="Arial" w:cs="Arial"/>
          <w:b/>
          <w:bCs/>
        </w:rPr>
        <w:t>a</w:t>
      </w:r>
      <w:r w:rsidRPr="00D36A1F">
        <w:rPr>
          <w:rFonts w:ascii="Arial" w:hAnsi="Arial" w:cs="Arial"/>
        </w:rPr>
        <w:t>.), and Caspase 4 (</w:t>
      </w:r>
      <w:r w:rsidRPr="00D36A1F">
        <w:rPr>
          <w:rFonts w:ascii="Arial" w:hAnsi="Arial" w:cs="Arial"/>
          <w:b/>
          <w:bCs/>
        </w:rPr>
        <w:t>b.</w:t>
      </w:r>
      <w:r w:rsidRPr="00D36A1F">
        <w:rPr>
          <w:rFonts w:ascii="Arial" w:hAnsi="Arial" w:cs="Arial"/>
        </w:rPr>
        <w:t xml:space="preserve">) in human iPS-microglia expressing TREM2 common variant and hypomorphic variants. </w:t>
      </w:r>
    </w:p>
    <w:p w14:paraId="438F6537" w14:textId="77777777" w:rsidR="00C85BBB" w:rsidRPr="00D36A1F" w:rsidRDefault="00C85BBB" w:rsidP="00C85BBB">
      <w:pPr>
        <w:spacing w:after="0" w:line="360" w:lineRule="auto"/>
        <w:rPr>
          <w:rFonts w:ascii="Arial" w:hAnsi="Arial" w:cs="Arial"/>
        </w:rPr>
      </w:pPr>
    </w:p>
    <w:p w14:paraId="6F2AC8AB" w14:textId="77777777" w:rsidR="00C85BBB" w:rsidRPr="00D36A1F" w:rsidRDefault="00C85BBB" w:rsidP="00C85BBB">
      <w:pPr>
        <w:spacing w:after="0" w:line="360" w:lineRule="auto"/>
        <w:rPr>
          <w:rFonts w:ascii="Arial" w:hAnsi="Arial" w:cs="Arial"/>
          <w:b/>
          <w:bCs/>
        </w:rPr>
      </w:pPr>
      <w:r w:rsidRPr="00D36A1F">
        <w:rPr>
          <w:rFonts w:ascii="Arial" w:hAnsi="Arial" w:cs="Arial"/>
          <w:b/>
          <w:bCs/>
        </w:rPr>
        <w:t>Supplementary Figure 2</w:t>
      </w:r>
    </w:p>
    <w:p w14:paraId="57613238" w14:textId="77777777" w:rsidR="00C85BBB" w:rsidRPr="00D36A1F" w:rsidRDefault="00C85BBB" w:rsidP="00C85BBB">
      <w:pPr>
        <w:spacing w:after="0" w:line="360" w:lineRule="auto"/>
        <w:rPr>
          <w:rFonts w:ascii="Arial" w:hAnsi="Arial" w:cs="Arial"/>
        </w:rPr>
      </w:pPr>
      <w:r w:rsidRPr="00D36A1F">
        <w:rPr>
          <w:rFonts w:ascii="Arial" w:hAnsi="Arial" w:cs="Arial"/>
        </w:rPr>
        <w:t>Representative blot (</w:t>
      </w:r>
      <w:r w:rsidRPr="00D36A1F">
        <w:rPr>
          <w:rFonts w:ascii="Arial" w:hAnsi="Arial" w:cs="Arial"/>
          <w:b/>
          <w:bCs/>
        </w:rPr>
        <w:t>a.</w:t>
      </w:r>
      <w:r w:rsidRPr="00D36A1F">
        <w:rPr>
          <w:rFonts w:ascii="Arial" w:hAnsi="Arial" w:cs="Arial"/>
        </w:rPr>
        <w:t>) of Caspase-1 (total procaspase-1, at 50 kDa and 45 kDa) in human iPS-microglia expressing TREM2 common variant and hypomorphic variants, at basal (NT) or following 24 stimulation with 2.5 mg/ml FG or 100 ng/ml LPS. Densitometric analysis of 2 blots for caspase-1 expression relative to actin (b.)</w:t>
      </w:r>
    </w:p>
    <w:p w14:paraId="46D06FFA" w14:textId="77777777" w:rsidR="00C85BBB" w:rsidRPr="00D36A1F" w:rsidRDefault="00C85BBB" w:rsidP="00C85BBB">
      <w:pPr>
        <w:spacing w:after="0" w:line="360" w:lineRule="auto"/>
        <w:rPr>
          <w:rFonts w:ascii="Arial" w:hAnsi="Arial" w:cs="Arial"/>
        </w:rPr>
      </w:pPr>
    </w:p>
    <w:p w14:paraId="4564974C" w14:textId="77777777" w:rsidR="00C85BBB" w:rsidRPr="00D36A1F" w:rsidRDefault="00C85BBB" w:rsidP="00C85BBB">
      <w:pPr>
        <w:spacing w:after="0" w:line="360" w:lineRule="auto"/>
        <w:rPr>
          <w:rFonts w:ascii="Arial" w:hAnsi="Arial" w:cs="Arial"/>
          <w:b/>
          <w:bCs/>
        </w:rPr>
      </w:pPr>
      <w:r w:rsidRPr="00D36A1F">
        <w:rPr>
          <w:rFonts w:ascii="Arial" w:hAnsi="Arial" w:cs="Arial"/>
          <w:b/>
          <w:bCs/>
        </w:rPr>
        <w:t>Supplementary Figure 3a, 3b and 3c</w:t>
      </w:r>
    </w:p>
    <w:p w14:paraId="3F0D1168" w14:textId="77777777" w:rsidR="00C85BBB" w:rsidRPr="00D36A1F" w:rsidRDefault="00C85BBB" w:rsidP="00C85BBB">
      <w:pPr>
        <w:spacing w:after="0" w:line="360" w:lineRule="auto"/>
        <w:rPr>
          <w:rFonts w:ascii="Arial" w:hAnsi="Arial" w:cs="Arial"/>
        </w:rPr>
      </w:pPr>
      <w:r w:rsidRPr="00152F39">
        <w:rPr>
          <w:rFonts w:ascii="Arial" w:hAnsi="Arial" w:cs="Arial"/>
        </w:rPr>
        <w:t>Proteome stress array blots and heat arrays (</w:t>
      </w:r>
      <w:r w:rsidRPr="00152F39">
        <w:rPr>
          <w:rFonts w:ascii="Arial" w:hAnsi="Arial" w:cs="Arial"/>
          <w:b/>
          <w:bCs/>
        </w:rPr>
        <w:t>3a</w:t>
      </w:r>
      <w:r w:rsidRPr="00152F39">
        <w:rPr>
          <w:rFonts w:ascii="Arial" w:hAnsi="Arial" w:cs="Arial"/>
        </w:rPr>
        <w:t>) and Secretome array blots from multiple experiments and heat arrays from multiple experiments with different arrays (</w:t>
      </w:r>
      <w:r w:rsidRPr="00152F39">
        <w:rPr>
          <w:rFonts w:ascii="Arial" w:hAnsi="Arial" w:cs="Arial"/>
          <w:b/>
          <w:bCs/>
        </w:rPr>
        <w:t>3b, 3c</w:t>
      </w:r>
      <w:r w:rsidRPr="00152F39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  <w:r w:rsidRPr="00152F39">
        <w:rPr>
          <w:rFonts w:ascii="Arial" w:hAnsi="Arial" w:cs="Arial"/>
        </w:rPr>
        <w:t xml:space="preserve"> </w:t>
      </w:r>
    </w:p>
    <w:p w14:paraId="7361919A" w14:textId="77777777" w:rsidR="00C85BBB" w:rsidRPr="00D36A1F" w:rsidRDefault="00C85BBB" w:rsidP="00C85BBB">
      <w:pPr>
        <w:spacing w:after="0" w:line="360" w:lineRule="auto"/>
        <w:rPr>
          <w:rFonts w:ascii="Arial" w:hAnsi="Arial" w:cs="Arial"/>
        </w:rPr>
      </w:pPr>
    </w:p>
    <w:p w14:paraId="011BC473" w14:textId="77777777" w:rsidR="00C85BBB" w:rsidRPr="00D36A1F" w:rsidRDefault="00C85BBB" w:rsidP="00C85BBB">
      <w:pPr>
        <w:spacing w:after="0" w:line="360" w:lineRule="auto"/>
        <w:rPr>
          <w:rFonts w:ascii="Arial" w:hAnsi="Arial" w:cs="Arial"/>
          <w:b/>
          <w:bCs/>
        </w:rPr>
      </w:pPr>
      <w:r w:rsidRPr="00D36A1F">
        <w:rPr>
          <w:rFonts w:ascii="Arial" w:hAnsi="Arial" w:cs="Arial"/>
          <w:b/>
          <w:bCs/>
        </w:rPr>
        <w:t>Supplementary Figure 4</w:t>
      </w:r>
    </w:p>
    <w:p w14:paraId="214C1ADD" w14:textId="77777777" w:rsidR="00C85BBB" w:rsidRPr="00D36A1F" w:rsidRDefault="00C85BBB" w:rsidP="00C85BBB">
      <w:pPr>
        <w:spacing w:after="0" w:line="360" w:lineRule="auto"/>
        <w:rPr>
          <w:rFonts w:ascii="Arial" w:hAnsi="Arial" w:cs="Arial"/>
          <w:b/>
          <w:bCs/>
        </w:rPr>
      </w:pPr>
      <w:r w:rsidRPr="00D36A1F">
        <w:rPr>
          <w:rFonts w:ascii="Arial" w:hAnsi="Arial" w:cs="Arial"/>
        </w:rPr>
        <w:t xml:space="preserve">Western blot analysis of </w:t>
      </w:r>
      <w:r>
        <w:rPr>
          <w:rFonts w:ascii="Arial" w:hAnsi="Arial" w:cs="Arial"/>
        </w:rPr>
        <w:t>p</w:t>
      </w:r>
      <w:r w:rsidRPr="00D36A1F">
        <w:rPr>
          <w:rFonts w:ascii="Arial" w:hAnsi="Arial" w:cs="Arial"/>
        </w:rPr>
        <w:t>NFκB expression in iPS-Mg following stimulation with fibrinogen (FG, 2.5mg/ml), LPS (100 ng/ml), or non-treated (NT) for 24 h in TREM2 Cv, R47H</w:t>
      </w:r>
      <w:r w:rsidRPr="00D36A1F">
        <w:rPr>
          <w:rFonts w:ascii="Arial" w:hAnsi="Arial" w:cs="Arial"/>
          <w:vertAlign w:val="superscript"/>
        </w:rPr>
        <w:t>hom</w:t>
      </w:r>
      <w:r w:rsidRPr="00D36A1F">
        <w:rPr>
          <w:rFonts w:ascii="Arial" w:hAnsi="Arial" w:cs="Arial"/>
        </w:rPr>
        <w:t xml:space="preserve"> or TREM2</w:t>
      </w:r>
      <w:r w:rsidRPr="00D36A1F">
        <w:rPr>
          <w:rFonts w:ascii="Arial" w:hAnsi="Arial" w:cs="Arial"/>
          <w:vertAlign w:val="superscript"/>
        </w:rPr>
        <w:t>-/-</w:t>
      </w:r>
      <w:r w:rsidRPr="00D36A1F">
        <w:rPr>
          <w:rFonts w:ascii="Arial" w:hAnsi="Arial" w:cs="Arial"/>
        </w:rPr>
        <w:t xml:space="preserve"> iPS-Mg. Data are the mean of 3 blots from 3 independent cultures normalized to </w:t>
      </w:r>
      <w:r w:rsidRPr="00D36A1F">
        <w:rPr>
          <w:rFonts w:ascii="Calibri" w:hAnsi="Calibri" w:cs="Calibri"/>
        </w:rPr>
        <w:t>β</w:t>
      </w:r>
      <w:r w:rsidRPr="00D36A1F">
        <w:rPr>
          <w:rFonts w:ascii="Arial" w:hAnsi="Arial" w:cs="Arial"/>
        </w:rPr>
        <w:t xml:space="preserve">-actin, +/- SEM, two-way ANOVA, </w:t>
      </w:r>
      <w:r w:rsidRPr="00D36A1F">
        <w:rPr>
          <w:rFonts w:ascii="Arial" w:hAnsi="Arial" w:cs="Arial"/>
          <w:bCs/>
          <w:i/>
          <w:iCs/>
        </w:rPr>
        <w:t xml:space="preserve">* </w:t>
      </w:r>
      <w:r w:rsidRPr="00D36A1F">
        <w:rPr>
          <w:rFonts w:ascii="Arial" w:hAnsi="Arial" w:cs="Arial"/>
          <w:bCs/>
        </w:rPr>
        <w:sym w:font="Symbol" w:char="F072"/>
      </w:r>
      <w:r w:rsidRPr="00D36A1F">
        <w:rPr>
          <w:rFonts w:ascii="Arial" w:hAnsi="Arial" w:cs="Arial"/>
          <w:bCs/>
        </w:rPr>
        <w:t>&lt;0.05, **</w:t>
      </w:r>
      <w:r w:rsidRPr="00D36A1F">
        <w:rPr>
          <w:rFonts w:ascii="Arial" w:hAnsi="Arial" w:cs="Arial"/>
          <w:bCs/>
        </w:rPr>
        <w:sym w:font="Symbol" w:char="F072"/>
      </w:r>
      <w:r w:rsidRPr="00D36A1F">
        <w:rPr>
          <w:rFonts w:ascii="Arial" w:hAnsi="Arial" w:cs="Arial"/>
          <w:bCs/>
        </w:rPr>
        <w:t>&lt;0.01</w:t>
      </w:r>
      <w:r w:rsidRPr="00D36A1F">
        <w:rPr>
          <w:rFonts w:ascii="Arial" w:hAnsi="Arial" w:cs="Arial"/>
        </w:rPr>
        <w:t xml:space="preserve">. </w:t>
      </w:r>
      <w:r w:rsidRPr="00D36A1F">
        <w:rPr>
          <w:rFonts w:ascii="Arial" w:hAnsi="Arial" w:cs="Arial"/>
          <w:b/>
          <w:bCs/>
        </w:rPr>
        <w:t xml:space="preserve"> </w:t>
      </w:r>
    </w:p>
    <w:p w14:paraId="75048959" w14:textId="77777777" w:rsidR="00C85BBB" w:rsidRPr="00576F28" w:rsidRDefault="00C85BBB" w:rsidP="00576F28">
      <w:pPr>
        <w:spacing w:after="0" w:line="360" w:lineRule="auto"/>
        <w:rPr>
          <w:rFonts w:ascii="Arial" w:hAnsi="Arial" w:cs="Arial"/>
        </w:rPr>
      </w:pPr>
    </w:p>
    <w:sectPr w:rsidR="00C85BBB" w:rsidRPr="00576F28" w:rsidSect="00F64E2A">
      <w:pgSz w:w="12240" w:h="15840"/>
      <w:pgMar w:top="1276" w:right="90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43E43" w14:textId="77777777" w:rsidR="00F64E2A" w:rsidRDefault="00F64E2A" w:rsidP="00C85BBB">
      <w:pPr>
        <w:spacing w:after="0" w:line="240" w:lineRule="auto"/>
      </w:pPr>
      <w:r>
        <w:separator/>
      </w:r>
    </w:p>
  </w:endnote>
  <w:endnote w:type="continuationSeparator" w:id="0">
    <w:p w14:paraId="1E562913" w14:textId="77777777" w:rsidR="00F64E2A" w:rsidRDefault="00F64E2A" w:rsidP="00C85B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0FE18" w14:textId="77777777" w:rsidR="00F64E2A" w:rsidRDefault="00F64E2A" w:rsidP="00C85BBB">
      <w:pPr>
        <w:spacing w:after="0" w:line="240" w:lineRule="auto"/>
      </w:pPr>
      <w:r>
        <w:separator/>
      </w:r>
    </w:p>
  </w:footnote>
  <w:footnote w:type="continuationSeparator" w:id="0">
    <w:p w14:paraId="60FE8EE2" w14:textId="77777777" w:rsidR="00F64E2A" w:rsidRDefault="00F64E2A" w:rsidP="00C85B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F28"/>
    <w:rsid w:val="001A18A3"/>
    <w:rsid w:val="00576F28"/>
    <w:rsid w:val="00755780"/>
    <w:rsid w:val="00857596"/>
    <w:rsid w:val="00C85BBB"/>
    <w:rsid w:val="00F6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9522A"/>
  <w15:chartTrackingRefBased/>
  <w15:docId w15:val="{0B0B4E58-8278-42A0-8CDA-8BBF57BB3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F28"/>
    <w:pPr>
      <w:spacing w:after="200" w:line="276" w:lineRule="auto"/>
    </w:pPr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5B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BBB"/>
    <w:rPr>
      <w:kern w:val="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85B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BBB"/>
    <w:rPr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163</Words>
  <Characters>931</Characters>
  <Application>Microsoft Office Word</Application>
  <DocSecurity>0</DocSecurity>
  <Lines>7</Lines>
  <Paragraphs>2</Paragraphs>
  <ScaleCrop>false</ScaleCrop>
  <Company>Springer Nature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2024-05-06T11:46:00Z</dcterms:created>
  <dcterms:modified xsi:type="dcterms:W3CDTF">2024-05-06T11:57:00Z</dcterms:modified>
</cp:coreProperties>
</file>