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9E67890" w14:textId="77777777" w:rsidR="00492B8D" w:rsidRDefault="00492B8D" w:rsidP="00492B8D">
      <w:pPr>
        <w:jc w:val="center"/>
        <w:rPr>
          <w:rFonts w:ascii="Times New Roman" w:hAnsi="Times New Roman" w:cs="Times New Roman"/>
          <w:b/>
          <w:bCs/>
          <w:sz w:val="24"/>
          <w:szCs w:val="24"/>
        </w:rPr>
      </w:pPr>
      <w:r>
        <w:rPr>
          <w:rFonts w:ascii="Times New Roman" w:hAnsi="Times New Roman" w:cs="Times New Roman"/>
          <w:b/>
          <w:bCs/>
          <w:sz w:val="24"/>
          <w:szCs w:val="24"/>
        </w:rPr>
        <w:t>SUPPLEMENTAL DATA FILE</w:t>
      </w:r>
    </w:p>
    <w:p w14:paraId="79AC1E6D" w14:textId="77777777" w:rsidR="00492B8D" w:rsidRDefault="00492B8D" w:rsidP="00492B8D">
      <w:pPr>
        <w:spacing w:after="0" w:line="240" w:lineRule="auto"/>
        <w:jc w:val="center"/>
        <w:rPr>
          <w:rFonts w:ascii="Times New Roman" w:hAnsi="Times New Roman" w:cs="Times New Roman"/>
          <w:b/>
          <w:bCs/>
          <w:sz w:val="24"/>
          <w:szCs w:val="24"/>
        </w:rPr>
      </w:pPr>
    </w:p>
    <w:p w14:paraId="5B182DF0" w14:textId="77777777" w:rsidR="00492B8D" w:rsidRDefault="00492B8D" w:rsidP="00492B8D">
      <w:pPr>
        <w:spacing w:after="0" w:line="240" w:lineRule="auto"/>
        <w:jc w:val="center"/>
        <w:rPr>
          <w:rFonts w:ascii="Times New Roman" w:hAnsi="Times New Roman" w:cs="Times New Roman"/>
          <w:b/>
          <w:bCs/>
          <w:sz w:val="24"/>
          <w:szCs w:val="24"/>
        </w:rPr>
      </w:pPr>
    </w:p>
    <w:p w14:paraId="49A73138" w14:textId="77777777" w:rsidR="00492B8D" w:rsidRDefault="00492B8D" w:rsidP="00492B8D">
      <w:pPr>
        <w:spacing w:after="0" w:line="240" w:lineRule="auto"/>
        <w:jc w:val="center"/>
        <w:rPr>
          <w:rFonts w:ascii="Times New Roman" w:hAnsi="Times New Roman" w:cs="Times New Roman"/>
          <w:b/>
          <w:bCs/>
          <w:sz w:val="24"/>
          <w:szCs w:val="24"/>
        </w:rPr>
      </w:pPr>
    </w:p>
    <w:p w14:paraId="2E1813CD" w14:textId="3934F8B6" w:rsidR="00492B8D" w:rsidRPr="00023EAC" w:rsidRDefault="00023EAC" w:rsidP="00492B8D">
      <w:pPr>
        <w:spacing w:after="0" w:line="240" w:lineRule="auto"/>
        <w:jc w:val="center"/>
        <w:rPr>
          <w:rFonts w:ascii="Times New Roman" w:hAnsi="Times New Roman" w:cs="Times New Roman"/>
          <w:b/>
          <w:bCs/>
          <w:sz w:val="24"/>
          <w:szCs w:val="24"/>
        </w:rPr>
      </w:pPr>
      <w:r w:rsidRPr="00023EAC">
        <w:rPr>
          <w:rFonts w:ascii="Times New Roman" w:hAnsi="Times New Roman" w:cs="Times New Roman"/>
          <w:b/>
          <w:bCs/>
          <w:sz w:val="24"/>
          <w:szCs w:val="24"/>
        </w:rPr>
        <w:t>ASSESSING THE VALUE OF INTEGRATED EVIDENCE APPROACHES IN DRUG DEVELOPMENT</w:t>
      </w:r>
    </w:p>
    <w:p w14:paraId="6CBC6CDF" w14:textId="064264C7" w:rsidR="00492B8D" w:rsidRDefault="00492B8D" w:rsidP="00492B8D">
      <w:pPr>
        <w:spacing w:after="0" w:line="240" w:lineRule="auto"/>
        <w:jc w:val="center"/>
        <w:rPr>
          <w:rFonts w:ascii="Times New Roman" w:hAnsi="Times New Roman" w:cs="Times New Roman"/>
          <w:b/>
          <w:sz w:val="24"/>
          <w:szCs w:val="24"/>
        </w:rPr>
      </w:pPr>
    </w:p>
    <w:p w14:paraId="7EA5EA80" w14:textId="77777777" w:rsidR="00023EAC" w:rsidRDefault="00023EAC" w:rsidP="00492B8D">
      <w:pPr>
        <w:spacing w:after="0" w:line="240" w:lineRule="auto"/>
        <w:jc w:val="center"/>
        <w:rPr>
          <w:rFonts w:ascii="Times New Roman" w:hAnsi="Times New Roman" w:cs="Times New Roman"/>
          <w:b/>
          <w:sz w:val="24"/>
          <w:szCs w:val="24"/>
        </w:rPr>
      </w:pPr>
    </w:p>
    <w:p w14:paraId="2455F3D4" w14:textId="77777777" w:rsidR="00D34905" w:rsidRPr="00ED4117" w:rsidRDefault="00D34905" w:rsidP="00492B8D">
      <w:pPr>
        <w:spacing w:after="0" w:line="240" w:lineRule="auto"/>
        <w:jc w:val="center"/>
        <w:rPr>
          <w:rFonts w:ascii="Times New Roman" w:hAnsi="Times New Roman" w:cs="Times New Roman"/>
          <w:b/>
          <w:sz w:val="24"/>
          <w:szCs w:val="24"/>
        </w:rPr>
      </w:pPr>
    </w:p>
    <w:p w14:paraId="13A99935" w14:textId="77777777" w:rsidR="00492B8D" w:rsidRPr="00ED4117" w:rsidRDefault="00492B8D" w:rsidP="00492B8D">
      <w:pPr>
        <w:spacing w:after="0" w:line="240" w:lineRule="auto"/>
        <w:jc w:val="center"/>
        <w:rPr>
          <w:rFonts w:ascii="Times New Roman" w:hAnsi="Times New Roman" w:cs="Times New Roman"/>
          <w:b/>
          <w:sz w:val="24"/>
          <w:szCs w:val="24"/>
        </w:rPr>
      </w:pPr>
    </w:p>
    <w:p w14:paraId="6F1BDBC9" w14:textId="2DF8412F" w:rsidR="0083629B" w:rsidRPr="004B5FDF" w:rsidRDefault="00D34905" w:rsidP="0083629B">
      <w:pPr>
        <w:jc w:val="center"/>
        <w:rPr>
          <w:rFonts w:ascii="Times New Roman" w:hAnsi="Times New Roman" w:cs="Times New Roman"/>
          <w:b/>
        </w:rPr>
      </w:pPr>
      <w:r>
        <w:rPr>
          <w:rFonts w:ascii="Times New Roman" w:hAnsi="Times New Roman" w:cs="Times New Roman"/>
          <w:b/>
        </w:rPr>
        <w:t>Joseph A. DiMasi</w:t>
      </w:r>
      <w:r w:rsidRPr="004B5FDF">
        <w:rPr>
          <w:rFonts w:ascii="Times New Roman" w:hAnsi="Times New Roman" w:cs="Times New Roman"/>
          <w:b/>
        </w:rPr>
        <w:t>,</w:t>
      </w:r>
      <w:r>
        <w:rPr>
          <w:rFonts w:ascii="Times New Roman" w:hAnsi="Times New Roman" w:cs="Times New Roman"/>
          <w:b/>
          <w:vertAlign w:val="superscript"/>
        </w:rPr>
        <w:t>1*</w:t>
      </w:r>
      <w:r>
        <w:rPr>
          <w:rFonts w:ascii="Times New Roman" w:hAnsi="Times New Roman" w:cs="Times New Roman"/>
          <w:b/>
        </w:rPr>
        <w:t xml:space="preserve"> Melvin (Skip) Olson,</w:t>
      </w:r>
      <w:r>
        <w:rPr>
          <w:rFonts w:ascii="Times New Roman" w:hAnsi="Times New Roman" w:cs="Times New Roman"/>
          <w:b/>
          <w:vertAlign w:val="superscript"/>
        </w:rPr>
        <w:t>2*</w:t>
      </w:r>
      <w:r>
        <w:rPr>
          <w:rFonts w:ascii="Times New Roman" w:hAnsi="Times New Roman" w:cs="Times New Roman"/>
          <w:b/>
        </w:rPr>
        <w:t xml:space="preserve"> Zachary Smith</w:t>
      </w:r>
      <w:r w:rsidRPr="004B5FDF">
        <w:rPr>
          <w:rFonts w:ascii="Times New Roman" w:hAnsi="Times New Roman" w:cs="Times New Roman"/>
          <w:b/>
        </w:rPr>
        <w:t>,</w:t>
      </w:r>
      <w:r>
        <w:rPr>
          <w:rFonts w:ascii="Times New Roman" w:hAnsi="Times New Roman" w:cs="Times New Roman"/>
          <w:b/>
          <w:vertAlign w:val="superscript"/>
        </w:rPr>
        <w:t>1</w:t>
      </w:r>
      <w:r w:rsidRPr="004B5FDF">
        <w:rPr>
          <w:rFonts w:ascii="Times New Roman" w:hAnsi="Times New Roman" w:cs="Times New Roman"/>
          <w:b/>
        </w:rPr>
        <w:t xml:space="preserve"> Kenneth A. Getz</w:t>
      </w:r>
      <w:r>
        <w:rPr>
          <w:rFonts w:ascii="Times New Roman" w:hAnsi="Times New Roman" w:cs="Times New Roman"/>
          <w:b/>
        </w:rPr>
        <w:t>,</w:t>
      </w:r>
      <w:r>
        <w:rPr>
          <w:rFonts w:ascii="Times New Roman" w:hAnsi="Times New Roman" w:cs="Times New Roman"/>
          <w:b/>
          <w:vertAlign w:val="superscript"/>
        </w:rPr>
        <w:t>1</w:t>
      </w:r>
      <w:r>
        <w:rPr>
          <w:rFonts w:ascii="Times New Roman" w:hAnsi="Times New Roman" w:cs="Times New Roman"/>
          <w:b/>
        </w:rPr>
        <w:t xml:space="preserve"> Gorana Capkun</w:t>
      </w:r>
      <w:r>
        <w:rPr>
          <w:rFonts w:ascii="Times New Roman" w:hAnsi="Times New Roman" w:cs="Times New Roman"/>
          <w:b/>
          <w:vertAlign w:val="superscript"/>
        </w:rPr>
        <w:t>3*</w:t>
      </w:r>
    </w:p>
    <w:p w14:paraId="2F85949B" w14:textId="76DFACBC" w:rsidR="0083629B" w:rsidRDefault="00D34905" w:rsidP="00D34905">
      <w:pPr>
        <w:tabs>
          <w:tab w:val="left" w:pos="496"/>
        </w:tabs>
        <w:rPr>
          <w:rFonts w:ascii="Times New Roman" w:hAnsi="Times New Roman" w:cs="Times New Roman"/>
          <w:b/>
        </w:rPr>
      </w:pPr>
      <w:r>
        <w:rPr>
          <w:rFonts w:ascii="Times New Roman" w:hAnsi="Times New Roman" w:cs="Times New Roman"/>
          <w:b/>
        </w:rPr>
        <w:tab/>
      </w:r>
    </w:p>
    <w:p w14:paraId="75C100CD" w14:textId="77777777" w:rsidR="00D34905" w:rsidRDefault="00D34905" w:rsidP="00D34905">
      <w:pPr>
        <w:tabs>
          <w:tab w:val="left" w:pos="496"/>
        </w:tabs>
        <w:rPr>
          <w:rFonts w:ascii="Times New Roman" w:hAnsi="Times New Roman" w:cs="Times New Roman"/>
          <w:b/>
        </w:rPr>
      </w:pPr>
    </w:p>
    <w:p w14:paraId="64D10569" w14:textId="77777777" w:rsidR="00D34905" w:rsidRPr="004B5FDF" w:rsidRDefault="00D34905" w:rsidP="00D34905">
      <w:pPr>
        <w:tabs>
          <w:tab w:val="left" w:pos="496"/>
        </w:tabs>
        <w:rPr>
          <w:rFonts w:ascii="Times New Roman" w:hAnsi="Times New Roman" w:cs="Times New Roman"/>
          <w:b/>
        </w:rPr>
      </w:pPr>
    </w:p>
    <w:p w14:paraId="1BCF151D" w14:textId="77777777" w:rsidR="00D34905" w:rsidRPr="00D34905" w:rsidRDefault="00D34905" w:rsidP="00D34905">
      <w:pPr>
        <w:spacing w:after="0" w:line="240" w:lineRule="auto"/>
        <w:jc w:val="center"/>
        <w:rPr>
          <w:rFonts w:ascii="Times New Roman" w:hAnsi="Times New Roman" w:cs="Times New Roman"/>
          <w:b/>
          <w:sz w:val="24"/>
          <w:szCs w:val="24"/>
        </w:rPr>
      </w:pPr>
      <w:r w:rsidRPr="00D34905">
        <w:rPr>
          <w:rFonts w:ascii="Times New Roman" w:hAnsi="Times New Roman" w:cs="Times New Roman"/>
          <w:b/>
          <w:sz w:val="24"/>
          <w:szCs w:val="24"/>
          <w:vertAlign w:val="superscript"/>
        </w:rPr>
        <w:t xml:space="preserve">1 </w:t>
      </w:r>
      <w:r w:rsidRPr="00D34905">
        <w:rPr>
          <w:rFonts w:ascii="Times New Roman" w:hAnsi="Times New Roman" w:cs="Times New Roman"/>
          <w:b/>
          <w:sz w:val="24"/>
          <w:szCs w:val="24"/>
        </w:rPr>
        <w:t>Tufts Center for the Study of Drug Development, Tufts University</w:t>
      </w:r>
    </w:p>
    <w:p w14:paraId="7269AC7C" w14:textId="77777777" w:rsidR="00D34905" w:rsidRPr="00D34905" w:rsidRDefault="00D34905" w:rsidP="00D34905">
      <w:pPr>
        <w:spacing w:after="0" w:line="240" w:lineRule="auto"/>
        <w:jc w:val="center"/>
        <w:rPr>
          <w:rFonts w:ascii="Times New Roman" w:hAnsi="Times New Roman" w:cs="Times New Roman"/>
          <w:b/>
          <w:sz w:val="24"/>
          <w:szCs w:val="24"/>
        </w:rPr>
      </w:pPr>
      <w:r w:rsidRPr="00D34905">
        <w:rPr>
          <w:rFonts w:ascii="Times New Roman" w:hAnsi="Times New Roman" w:cs="Times New Roman"/>
          <w:b/>
          <w:sz w:val="24"/>
          <w:szCs w:val="24"/>
          <w:vertAlign w:val="superscript"/>
        </w:rPr>
        <w:t xml:space="preserve">2 </w:t>
      </w:r>
      <w:r w:rsidRPr="00D34905">
        <w:rPr>
          <w:rFonts w:ascii="Times New Roman" w:hAnsi="Times New Roman" w:cs="Times New Roman"/>
          <w:b/>
          <w:sz w:val="24"/>
          <w:szCs w:val="24"/>
        </w:rPr>
        <w:t>Olson Strategies GmbH</w:t>
      </w:r>
    </w:p>
    <w:p w14:paraId="5B0AFEAA" w14:textId="77777777" w:rsidR="00D34905" w:rsidRPr="00D34905" w:rsidRDefault="00D34905" w:rsidP="00D34905">
      <w:pPr>
        <w:spacing w:after="0" w:line="240" w:lineRule="auto"/>
        <w:jc w:val="center"/>
        <w:rPr>
          <w:rFonts w:ascii="Times New Roman" w:hAnsi="Times New Roman" w:cs="Times New Roman"/>
          <w:b/>
          <w:sz w:val="24"/>
          <w:szCs w:val="24"/>
        </w:rPr>
      </w:pPr>
      <w:r w:rsidRPr="00D34905">
        <w:rPr>
          <w:rFonts w:ascii="Times New Roman" w:hAnsi="Times New Roman" w:cs="Times New Roman"/>
          <w:b/>
          <w:sz w:val="24"/>
          <w:szCs w:val="24"/>
          <w:vertAlign w:val="superscript"/>
        </w:rPr>
        <w:t>3</w:t>
      </w:r>
      <w:r w:rsidRPr="00D34905">
        <w:rPr>
          <w:rFonts w:ascii="Times New Roman" w:hAnsi="Times New Roman" w:cs="Times New Roman"/>
          <w:b/>
          <w:sz w:val="24"/>
          <w:szCs w:val="24"/>
        </w:rPr>
        <w:t xml:space="preserve"> Merck Healthcare </w:t>
      </w:r>
      <w:proofErr w:type="spellStart"/>
      <w:r w:rsidRPr="00D34905">
        <w:rPr>
          <w:rFonts w:ascii="Times New Roman" w:hAnsi="Times New Roman" w:cs="Times New Roman"/>
          <w:b/>
          <w:sz w:val="24"/>
          <w:szCs w:val="24"/>
        </w:rPr>
        <w:t>KGaA</w:t>
      </w:r>
      <w:proofErr w:type="spellEnd"/>
    </w:p>
    <w:p w14:paraId="2A3CF325" w14:textId="6CF476C6" w:rsidR="0083629B" w:rsidRDefault="0083629B" w:rsidP="0083629B">
      <w:pPr>
        <w:jc w:val="center"/>
        <w:rPr>
          <w:rFonts w:ascii="Times New Roman" w:hAnsi="Times New Roman" w:cs="Times New Roman"/>
          <w:b/>
        </w:rPr>
      </w:pPr>
    </w:p>
    <w:p w14:paraId="5DAAB11D" w14:textId="77777777" w:rsidR="00D34905" w:rsidRDefault="00D34905" w:rsidP="0083629B">
      <w:pPr>
        <w:jc w:val="center"/>
        <w:rPr>
          <w:rFonts w:ascii="Times New Roman" w:hAnsi="Times New Roman" w:cs="Times New Roman"/>
          <w:b/>
        </w:rPr>
      </w:pPr>
    </w:p>
    <w:p w14:paraId="37C56D4E" w14:textId="77777777" w:rsidR="00D34905" w:rsidRDefault="00D34905" w:rsidP="0083629B">
      <w:pPr>
        <w:jc w:val="center"/>
        <w:rPr>
          <w:rFonts w:ascii="Times New Roman" w:hAnsi="Times New Roman" w:cs="Times New Roman"/>
          <w:b/>
        </w:rPr>
      </w:pPr>
    </w:p>
    <w:p w14:paraId="5B51D075" w14:textId="77777777" w:rsidR="00D34905" w:rsidRDefault="00D34905" w:rsidP="0083629B">
      <w:pPr>
        <w:jc w:val="center"/>
        <w:rPr>
          <w:rFonts w:ascii="Times New Roman" w:hAnsi="Times New Roman" w:cs="Times New Roman"/>
          <w:b/>
        </w:rPr>
      </w:pPr>
    </w:p>
    <w:p w14:paraId="69E439FE" w14:textId="77777777" w:rsidR="00D34905" w:rsidRDefault="00D34905" w:rsidP="00D34905">
      <w:pPr>
        <w:widowControl w:val="0"/>
        <w:tabs>
          <w:tab w:val="left" w:pos="-720"/>
        </w:tabs>
        <w:suppressAutoHyphens/>
        <w:rPr>
          <w:rFonts w:ascii="Times New Roman" w:hAnsi="Times New Roman" w:cs="Times New Roman"/>
          <w:snapToGrid w:val="0"/>
        </w:rPr>
      </w:pPr>
      <w:r w:rsidRPr="00B1584E">
        <w:rPr>
          <w:rFonts w:ascii="Times New Roman" w:hAnsi="Times New Roman" w:cs="Times New Roman"/>
          <w:snapToGrid w:val="0"/>
          <w:sz w:val="24"/>
          <w:szCs w:val="24"/>
        </w:rPr>
        <w:t>*These authors contributed equally to this work</w:t>
      </w:r>
    </w:p>
    <w:p w14:paraId="1D24CFCA" w14:textId="77777777" w:rsidR="00D34905" w:rsidRPr="004B5FDF" w:rsidRDefault="00D34905" w:rsidP="0083629B">
      <w:pPr>
        <w:jc w:val="center"/>
        <w:rPr>
          <w:rFonts w:ascii="Times New Roman" w:hAnsi="Times New Roman" w:cs="Times New Roman"/>
          <w:b/>
        </w:rPr>
      </w:pPr>
    </w:p>
    <w:p w14:paraId="7F489EB7" w14:textId="77777777" w:rsidR="0083629B" w:rsidRPr="004B5FDF" w:rsidRDefault="0083629B" w:rsidP="0083629B">
      <w:pPr>
        <w:jc w:val="center"/>
        <w:rPr>
          <w:rFonts w:ascii="Times New Roman" w:hAnsi="Times New Roman" w:cs="Times New Roman"/>
          <w:b/>
        </w:rPr>
      </w:pPr>
    </w:p>
    <w:p w14:paraId="41445024" w14:textId="77777777" w:rsidR="00492B8D" w:rsidRPr="00ED4117" w:rsidRDefault="00492B8D" w:rsidP="00492B8D">
      <w:pPr>
        <w:spacing w:after="0" w:line="240" w:lineRule="auto"/>
        <w:rPr>
          <w:rFonts w:ascii="Times New Roman" w:hAnsi="Times New Roman" w:cs="Times New Roman"/>
          <w:b/>
          <w:sz w:val="24"/>
          <w:szCs w:val="24"/>
        </w:rPr>
      </w:pPr>
    </w:p>
    <w:p w14:paraId="4802BA9F" w14:textId="222EBCF3" w:rsidR="009158D2" w:rsidRDefault="009158D2">
      <w:pPr>
        <w:rPr>
          <w:rFonts w:ascii="Times New Roman" w:hAnsi="Times New Roman" w:cs="Times New Roman"/>
          <w:sz w:val="24"/>
          <w:szCs w:val="24"/>
        </w:rPr>
      </w:pPr>
      <w:r>
        <w:rPr>
          <w:rFonts w:ascii="Times New Roman" w:hAnsi="Times New Roman" w:cs="Times New Roman"/>
          <w:sz w:val="24"/>
          <w:szCs w:val="24"/>
        </w:rPr>
        <w:br w:type="page"/>
      </w:r>
    </w:p>
    <w:p w14:paraId="140B02B1" w14:textId="77777777" w:rsidR="00E61217" w:rsidRPr="00E61217" w:rsidRDefault="00E61217">
      <w:pPr>
        <w:rPr>
          <w:rFonts w:ascii="Times New Roman" w:hAnsi="Times New Roman" w:cs="Times New Roman"/>
          <w:u w:val="single"/>
        </w:rPr>
      </w:pPr>
      <w:r w:rsidRPr="00E61217">
        <w:rPr>
          <w:rFonts w:ascii="Times New Roman" w:hAnsi="Times New Roman" w:cs="Times New Roman"/>
          <w:u w:val="single"/>
        </w:rPr>
        <w:lastRenderedPageBreak/>
        <w:t xml:space="preserve">Additional assumptions for </w:t>
      </w:r>
      <w:proofErr w:type="spellStart"/>
      <w:r w:rsidRPr="00E61217">
        <w:rPr>
          <w:rFonts w:ascii="Times New Roman" w:hAnsi="Times New Roman" w:cs="Times New Roman"/>
          <w:u w:val="single"/>
        </w:rPr>
        <w:t>eNPV</w:t>
      </w:r>
      <w:proofErr w:type="spellEnd"/>
      <w:r w:rsidRPr="00E61217">
        <w:rPr>
          <w:rFonts w:ascii="Times New Roman" w:hAnsi="Times New Roman" w:cs="Times New Roman"/>
          <w:u w:val="single"/>
        </w:rPr>
        <w:t xml:space="preserve"> calculations used in the two case </w:t>
      </w:r>
      <w:proofErr w:type="gramStart"/>
      <w:r w:rsidRPr="00E61217">
        <w:rPr>
          <w:rFonts w:ascii="Times New Roman" w:hAnsi="Times New Roman" w:cs="Times New Roman"/>
          <w:u w:val="single"/>
        </w:rPr>
        <w:t>studies</w:t>
      </w:r>
      <w:proofErr w:type="gramEnd"/>
    </w:p>
    <w:p w14:paraId="590ADFEA" w14:textId="77777777" w:rsidR="00143811" w:rsidRDefault="00143811" w:rsidP="00143811">
      <w:pPr>
        <w:spacing w:line="480" w:lineRule="auto"/>
        <w:ind w:firstLine="720"/>
        <w:rPr>
          <w:rFonts w:ascii="Times New Roman" w:hAnsi="Times New Roman" w:cs="Times New Roman"/>
        </w:rPr>
      </w:pPr>
      <w:r>
        <w:rPr>
          <w:rFonts w:ascii="Times New Roman" w:hAnsi="Times New Roman" w:cs="Times New Roman"/>
        </w:rPr>
        <w:t>Typical development costs for a PK/bioequivalence study and observational of around $3 million were assumed as well as approximately $20 million for a phase II trial. As there might be a long follow-up period for the phase II trial, we assume that 80% of the costs are incurred in the first three years but it should be noted that the results are not very sensitive to different assumptions about how the costs are distributed over the trial duration.</w:t>
      </w:r>
    </w:p>
    <w:p w14:paraId="40CD224E" w14:textId="7B2675C0" w:rsidR="00143811" w:rsidRDefault="00143811" w:rsidP="00143811">
      <w:pPr>
        <w:spacing w:line="480" w:lineRule="auto"/>
        <w:ind w:firstLine="720"/>
        <w:rPr>
          <w:rFonts w:ascii="Times New Roman" w:hAnsi="Times New Roman" w:cs="Times New Roman"/>
        </w:rPr>
      </w:pPr>
      <w:r>
        <w:rPr>
          <w:rFonts w:ascii="Times New Roman" w:hAnsi="Times New Roman" w:cs="Times New Roman"/>
        </w:rPr>
        <w:t>The typical cost of an appropriate phase 3b trial is estimated to be $8 million in nominal dollars.  The assumed duration of the study is two years.  The study is assumed to start at the time that the original application for marketing approval is submitted.  The original regulatory review is assumed to take 10 months.  The assumed probability that the results of the phase 3b study will be submitted for regulatory approval is 78%, and the assumed likelihood of regulatory approval, if an application is submitted, is 90%.</w:t>
      </w:r>
      <w:r w:rsidR="00B90FAE">
        <w:rPr>
          <w:rFonts w:ascii="Times New Roman" w:hAnsi="Times New Roman" w:cs="Times New Roman"/>
        </w:rPr>
        <w:t xml:space="preserve"> </w:t>
      </w:r>
      <w:r>
        <w:rPr>
          <w:rFonts w:ascii="Times New Roman" w:hAnsi="Times New Roman" w:cs="Times New Roman"/>
        </w:rPr>
        <w:t xml:space="preserve">The </w:t>
      </w:r>
      <w:proofErr w:type="spellStart"/>
      <w:r>
        <w:rPr>
          <w:rFonts w:ascii="Times New Roman" w:hAnsi="Times New Roman" w:cs="Times New Roman"/>
        </w:rPr>
        <w:t>eNPV</w:t>
      </w:r>
      <w:proofErr w:type="spellEnd"/>
      <w:r>
        <w:rPr>
          <w:rFonts w:ascii="Times New Roman" w:hAnsi="Times New Roman" w:cs="Times New Roman"/>
        </w:rPr>
        <w:t xml:space="preserve"> is reduced by the cost of the phase 3b trial discounted back to the start of the trial.  </w:t>
      </w:r>
    </w:p>
    <w:p w14:paraId="7C5534EE" w14:textId="33E70590" w:rsidR="00E61217" w:rsidRDefault="00E61217" w:rsidP="00E61217">
      <w:pPr>
        <w:spacing w:line="480" w:lineRule="auto"/>
        <w:ind w:firstLine="720"/>
        <w:rPr>
          <w:rFonts w:ascii="Times New Roman" w:hAnsi="Times New Roman" w:cs="Times New Roman"/>
        </w:rPr>
      </w:pPr>
      <w:r>
        <w:rPr>
          <w:rFonts w:ascii="Times New Roman" w:hAnsi="Times New Roman" w:cs="Times New Roman"/>
        </w:rPr>
        <w:t xml:space="preserve">Based on internal data and published company financials, we assume for the base cases that the contribution margin ratio is 43% (difference between revenue and variable cost divided by revenue), the discrete cost of capital is 6.5%, and the effective corporate income tax rate is 18.2%.  </w:t>
      </w:r>
    </w:p>
    <w:p w14:paraId="65440721" w14:textId="0A99AE23" w:rsidR="00E61217" w:rsidRDefault="00E61217" w:rsidP="00E61217">
      <w:pPr>
        <w:spacing w:line="480" w:lineRule="auto"/>
        <w:ind w:firstLine="720"/>
        <w:rPr>
          <w:rFonts w:ascii="Times New Roman" w:hAnsi="Times New Roman" w:cs="Times New Roman"/>
        </w:rPr>
      </w:pPr>
      <w:r>
        <w:rPr>
          <w:rFonts w:ascii="Times New Roman" w:hAnsi="Times New Roman" w:cs="Times New Roman"/>
        </w:rPr>
        <w:t xml:space="preserve">The projected costs and returns </w:t>
      </w:r>
      <w:r w:rsidR="00B90FAE">
        <w:rPr>
          <w:rFonts w:ascii="Times New Roman" w:hAnsi="Times New Roman" w:cs="Times New Roman"/>
        </w:rPr>
        <w:t xml:space="preserve">for both cases </w:t>
      </w:r>
      <w:r>
        <w:rPr>
          <w:rFonts w:ascii="Times New Roman" w:hAnsi="Times New Roman" w:cs="Times New Roman"/>
        </w:rPr>
        <w:t xml:space="preserve">are assumed to be given in nominal dollars and are inflation-adjusted for the analyses using the GDP Implicit Price Deflator as a price index.  The analyses are conducted with all costs and returns expressed in </w:t>
      </w:r>
      <w:proofErr w:type="gramStart"/>
      <w:r>
        <w:rPr>
          <w:rFonts w:ascii="Times New Roman" w:hAnsi="Times New Roman" w:cs="Times New Roman"/>
        </w:rPr>
        <w:t>year</w:t>
      </w:r>
      <w:proofErr w:type="gramEnd"/>
      <w:r>
        <w:rPr>
          <w:rFonts w:ascii="Times New Roman" w:hAnsi="Times New Roman" w:cs="Times New Roman"/>
        </w:rPr>
        <w:t xml:space="preserve"> 2020 dollars.  Forecasted returns in all cases are </w:t>
      </w:r>
      <w:r w:rsidR="00B90FAE">
        <w:rPr>
          <w:rFonts w:ascii="Times New Roman" w:hAnsi="Times New Roman" w:cs="Times New Roman"/>
        </w:rPr>
        <w:t>specified through</w:t>
      </w:r>
      <w:r>
        <w:rPr>
          <w:rFonts w:ascii="Times New Roman" w:hAnsi="Times New Roman" w:cs="Times New Roman"/>
        </w:rPr>
        <w:t xml:space="preserve"> 2030.  </w:t>
      </w:r>
      <w:r w:rsidR="00B90FAE">
        <w:rPr>
          <w:rFonts w:ascii="Times New Roman" w:hAnsi="Times New Roman" w:cs="Times New Roman"/>
        </w:rPr>
        <w:t>Projecting</w:t>
      </w:r>
      <w:r>
        <w:rPr>
          <w:rFonts w:ascii="Times New Roman" w:hAnsi="Times New Roman" w:cs="Times New Roman"/>
        </w:rPr>
        <w:t xml:space="preserve"> future returns far into the future is fraught with difficulties.  However, given that returns can be expected to extend beyond the estimates given here, the results on the increments in value from employing the IEPs should be viewed as conservative.  The internal company cost of capital is a discrete (annual) value.  Here, the </w:t>
      </w:r>
      <w:proofErr w:type="spellStart"/>
      <w:r>
        <w:rPr>
          <w:rFonts w:ascii="Times New Roman" w:hAnsi="Times New Roman" w:cs="Times New Roman"/>
        </w:rPr>
        <w:t>eNPV</w:t>
      </w:r>
      <w:proofErr w:type="spellEnd"/>
      <w:r>
        <w:rPr>
          <w:rFonts w:ascii="Times New Roman" w:hAnsi="Times New Roman" w:cs="Times New Roman"/>
        </w:rPr>
        <w:t xml:space="preserve"> calculations are done on a continuous basis, so the </w:t>
      </w:r>
      <w:r w:rsidR="00B90FAE">
        <w:rPr>
          <w:rFonts w:ascii="Times New Roman" w:hAnsi="Times New Roman" w:cs="Times New Roman"/>
        </w:rPr>
        <w:t xml:space="preserve">assumed </w:t>
      </w:r>
      <w:r>
        <w:rPr>
          <w:rFonts w:ascii="Times New Roman" w:hAnsi="Times New Roman" w:cs="Times New Roman"/>
        </w:rPr>
        <w:t>discrete company cost of capital is converted to an equivalent continuous cost of capital.  All costs and returns are discounted back to the start of the implementation of the IEP.</w:t>
      </w:r>
    </w:p>
    <w:p w14:paraId="055F194E" w14:textId="356A184C" w:rsidR="008078D8" w:rsidRDefault="008078D8">
      <w:pPr>
        <w:rPr>
          <w:rFonts w:ascii="Times New Roman" w:hAnsi="Times New Roman" w:cs="Times New Roman"/>
          <w:sz w:val="24"/>
          <w:szCs w:val="24"/>
        </w:rPr>
      </w:pPr>
      <w:r>
        <w:rPr>
          <w:rFonts w:ascii="Times New Roman" w:hAnsi="Times New Roman" w:cs="Times New Roman"/>
          <w:sz w:val="24"/>
          <w:szCs w:val="24"/>
        </w:rPr>
        <w:br w:type="page"/>
      </w:r>
      <w:r w:rsidR="00950553" w:rsidRPr="00950553">
        <w:rPr>
          <w:noProof/>
        </w:rPr>
        <w:lastRenderedPageBreak/>
        <w:drawing>
          <wp:inline distT="0" distB="0" distL="0" distR="0" wp14:anchorId="4952CE33" wp14:editId="18621650">
            <wp:extent cx="5943600" cy="3343910"/>
            <wp:effectExtent l="0" t="0" r="0" b="8890"/>
            <wp:docPr id="16584545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3343910"/>
                    </a:xfrm>
                    <a:prstGeom prst="rect">
                      <a:avLst/>
                    </a:prstGeom>
                    <a:noFill/>
                    <a:ln>
                      <a:noFill/>
                    </a:ln>
                  </pic:spPr>
                </pic:pic>
              </a:graphicData>
            </a:graphic>
          </wp:inline>
        </w:drawing>
      </w:r>
    </w:p>
    <w:p w14:paraId="1AC758DB" w14:textId="77777777" w:rsidR="00950553" w:rsidRDefault="00950553">
      <w:pPr>
        <w:rPr>
          <w:noProof/>
        </w:rPr>
      </w:pPr>
      <w:r>
        <w:rPr>
          <w:noProof/>
        </w:rPr>
        <w:br w:type="page"/>
      </w:r>
    </w:p>
    <w:p w14:paraId="6758033A" w14:textId="2233D5FB" w:rsidR="008078D8" w:rsidRDefault="00950553">
      <w:pPr>
        <w:rPr>
          <w:rFonts w:ascii="Times New Roman" w:hAnsi="Times New Roman" w:cs="Times New Roman"/>
          <w:sz w:val="24"/>
          <w:szCs w:val="24"/>
        </w:rPr>
      </w:pPr>
      <w:r w:rsidRPr="00950553">
        <w:rPr>
          <w:noProof/>
        </w:rPr>
        <w:lastRenderedPageBreak/>
        <w:drawing>
          <wp:inline distT="0" distB="0" distL="0" distR="0" wp14:anchorId="02C1CDC9" wp14:editId="0715C3CA">
            <wp:extent cx="5943600" cy="3343910"/>
            <wp:effectExtent l="0" t="0" r="0" b="8890"/>
            <wp:docPr id="178952430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3343910"/>
                    </a:xfrm>
                    <a:prstGeom prst="rect">
                      <a:avLst/>
                    </a:prstGeom>
                    <a:noFill/>
                    <a:ln>
                      <a:noFill/>
                    </a:ln>
                  </pic:spPr>
                </pic:pic>
              </a:graphicData>
            </a:graphic>
          </wp:inline>
        </w:drawing>
      </w:r>
    </w:p>
    <w:p w14:paraId="2C914421" w14:textId="77777777" w:rsidR="008078D8" w:rsidRDefault="008078D8">
      <w:pPr>
        <w:rPr>
          <w:rFonts w:ascii="Times New Roman" w:hAnsi="Times New Roman" w:cs="Times New Roman"/>
          <w:sz w:val="24"/>
          <w:szCs w:val="24"/>
        </w:rPr>
      </w:pPr>
      <w:r>
        <w:rPr>
          <w:rFonts w:ascii="Times New Roman" w:hAnsi="Times New Roman" w:cs="Times New Roman"/>
          <w:sz w:val="24"/>
          <w:szCs w:val="24"/>
        </w:rPr>
        <w:br w:type="page"/>
      </w:r>
    </w:p>
    <w:p w14:paraId="21A02BB7" w14:textId="4B151490" w:rsidR="00B42B8D" w:rsidRPr="00492B8D" w:rsidRDefault="00950553">
      <w:pPr>
        <w:rPr>
          <w:rFonts w:ascii="Times New Roman" w:hAnsi="Times New Roman" w:cs="Times New Roman"/>
          <w:sz w:val="24"/>
          <w:szCs w:val="24"/>
        </w:rPr>
      </w:pPr>
      <w:r w:rsidRPr="00950553">
        <w:rPr>
          <w:noProof/>
        </w:rPr>
        <w:lastRenderedPageBreak/>
        <w:drawing>
          <wp:inline distT="0" distB="0" distL="0" distR="0" wp14:anchorId="2DC698F2" wp14:editId="1DF30573">
            <wp:extent cx="5943600" cy="3343910"/>
            <wp:effectExtent l="0" t="0" r="0" b="8890"/>
            <wp:docPr id="177842164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3343910"/>
                    </a:xfrm>
                    <a:prstGeom prst="rect">
                      <a:avLst/>
                    </a:prstGeom>
                    <a:noFill/>
                    <a:ln>
                      <a:noFill/>
                    </a:ln>
                  </pic:spPr>
                </pic:pic>
              </a:graphicData>
            </a:graphic>
          </wp:inline>
        </w:drawing>
      </w:r>
    </w:p>
    <w:sectPr w:rsidR="00B42B8D" w:rsidRPr="00492B8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5DCBB31" w14:textId="77777777" w:rsidR="005478AC" w:rsidRDefault="005478AC" w:rsidP="00CE6685">
      <w:pPr>
        <w:spacing w:after="0" w:line="240" w:lineRule="auto"/>
      </w:pPr>
      <w:r>
        <w:separator/>
      </w:r>
    </w:p>
  </w:endnote>
  <w:endnote w:type="continuationSeparator" w:id="0">
    <w:p w14:paraId="45BA69C7" w14:textId="77777777" w:rsidR="005478AC" w:rsidRDefault="005478AC" w:rsidP="00CE66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2487A05" w14:textId="77777777" w:rsidR="005478AC" w:rsidRDefault="005478AC" w:rsidP="00CE6685">
      <w:pPr>
        <w:spacing w:after="0" w:line="240" w:lineRule="auto"/>
      </w:pPr>
      <w:r>
        <w:separator/>
      </w:r>
    </w:p>
  </w:footnote>
  <w:footnote w:type="continuationSeparator" w:id="0">
    <w:p w14:paraId="754AEEC5" w14:textId="77777777" w:rsidR="005478AC" w:rsidRDefault="005478AC" w:rsidP="00CE668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val="bestFit" w:percent="147"/>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2B8D"/>
    <w:rsid w:val="00023EAC"/>
    <w:rsid w:val="00143811"/>
    <w:rsid w:val="00237209"/>
    <w:rsid w:val="0037569E"/>
    <w:rsid w:val="00492B8D"/>
    <w:rsid w:val="0054641D"/>
    <w:rsid w:val="005478AC"/>
    <w:rsid w:val="005F14E4"/>
    <w:rsid w:val="00663124"/>
    <w:rsid w:val="006A77E3"/>
    <w:rsid w:val="0075043D"/>
    <w:rsid w:val="008078D8"/>
    <w:rsid w:val="0083629B"/>
    <w:rsid w:val="009158D2"/>
    <w:rsid w:val="00950553"/>
    <w:rsid w:val="00B04B3B"/>
    <w:rsid w:val="00B42B8D"/>
    <w:rsid w:val="00B90FAE"/>
    <w:rsid w:val="00C54A1B"/>
    <w:rsid w:val="00C923F6"/>
    <w:rsid w:val="00CE6685"/>
    <w:rsid w:val="00CF52C3"/>
    <w:rsid w:val="00D34905"/>
    <w:rsid w:val="00D37780"/>
    <w:rsid w:val="00E61217"/>
    <w:rsid w:val="00E878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7B810F"/>
  <w15:chartTrackingRefBased/>
  <w15:docId w15:val="{865462DF-D459-4911-83EE-B430B2659E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2B8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E61217"/>
    <w:rPr>
      <w:sz w:val="16"/>
      <w:szCs w:val="16"/>
    </w:rPr>
  </w:style>
  <w:style w:type="paragraph" w:styleId="CommentText">
    <w:name w:val="annotation text"/>
    <w:basedOn w:val="Normal"/>
    <w:link w:val="CommentTextChar"/>
    <w:uiPriority w:val="99"/>
    <w:unhideWhenUsed/>
    <w:rsid w:val="00E61217"/>
    <w:pPr>
      <w:spacing w:after="200" w:line="240" w:lineRule="auto"/>
    </w:pPr>
    <w:rPr>
      <w:sz w:val="20"/>
      <w:szCs w:val="20"/>
    </w:rPr>
  </w:style>
  <w:style w:type="character" w:customStyle="1" w:styleId="CommentTextChar">
    <w:name w:val="Comment Text Char"/>
    <w:basedOn w:val="DefaultParagraphFont"/>
    <w:link w:val="CommentText"/>
    <w:uiPriority w:val="99"/>
    <w:rsid w:val="00E61217"/>
    <w:rPr>
      <w:sz w:val="20"/>
      <w:szCs w:val="20"/>
    </w:rPr>
  </w:style>
  <w:style w:type="paragraph" w:styleId="Revision">
    <w:name w:val="Revision"/>
    <w:hidden/>
    <w:uiPriority w:val="99"/>
    <w:semiHidden/>
    <w:rsid w:val="00B90FAE"/>
    <w:pPr>
      <w:spacing w:after="0" w:line="240" w:lineRule="auto"/>
    </w:pPr>
  </w:style>
  <w:style w:type="paragraph" w:styleId="Header">
    <w:name w:val="header"/>
    <w:basedOn w:val="Normal"/>
    <w:link w:val="HeaderChar"/>
    <w:uiPriority w:val="99"/>
    <w:unhideWhenUsed/>
    <w:rsid w:val="00950553"/>
    <w:pPr>
      <w:tabs>
        <w:tab w:val="center" w:pos="4680"/>
        <w:tab w:val="right" w:pos="9360"/>
      </w:tabs>
      <w:spacing w:after="0" w:line="240" w:lineRule="auto"/>
    </w:pPr>
  </w:style>
  <w:style w:type="character" w:customStyle="1" w:styleId="HeaderChar">
    <w:name w:val="Header Char"/>
    <w:basedOn w:val="DefaultParagraphFont"/>
    <w:link w:val="Header"/>
    <w:uiPriority w:val="99"/>
    <w:rsid w:val="00950553"/>
  </w:style>
  <w:style w:type="paragraph" w:styleId="Footer">
    <w:name w:val="footer"/>
    <w:basedOn w:val="Normal"/>
    <w:link w:val="FooterChar"/>
    <w:uiPriority w:val="99"/>
    <w:unhideWhenUsed/>
    <w:rsid w:val="00950553"/>
    <w:pPr>
      <w:tabs>
        <w:tab w:val="center" w:pos="4680"/>
        <w:tab w:val="right" w:pos="9360"/>
      </w:tabs>
      <w:spacing w:after="0" w:line="240" w:lineRule="auto"/>
    </w:pPr>
  </w:style>
  <w:style w:type="character" w:customStyle="1" w:styleId="FooterChar">
    <w:name w:val="Footer Char"/>
    <w:basedOn w:val="DefaultParagraphFont"/>
    <w:link w:val="Footer"/>
    <w:uiPriority w:val="99"/>
    <w:rsid w:val="009505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3" Type="http://schemas.openxmlformats.org/officeDocument/2006/relationships/webSettings" Target="webSettings.xml"/><Relationship Id="rId7" Type="http://schemas.openxmlformats.org/officeDocument/2006/relationships/image" Target="media/image2.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5</Pages>
  <Words>410</Words>
  <Characters>2339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Dimasi, Joseph A.</dc:creator>
  <cp:keywords/>
  <dc:description/>
  <cp:lastModifiedBy>Dimasi, Joseph A.</cp:lastModifiedBy>
  <cp:revision>4</cp:revision>
  <dcterms:created xsi:type="dcterms:W3CDTF">2024-01-20T01:44:00Z</dcterms:created>
  <dcterms:modified xsi:type="dcterms:W3CDTF">2024-04-22T19:32:00Z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c9bec58-8084-492e-8360-0e1cfe36408c_Enabled">
    <vt:lpwstr>true</vt:lpwstr>
  </property>
  <property fmtid="{D5CDD505-2E9C-101B-9397-08002B2CF9AE}" pid="3" name="MSIP_Label_3c9bec58-8084-492e-8360-0e1cfe36408c_SetDate">
    <vt:lpwstr>2023-10-20T12:14:44Z</vt:lpwstr>
  </property>
  <property fmtid="{D5CDD505-2E9C-101B-9397-08002B2CF9AE}" pid="4" name="MSIP_Label_3c9bec58-8084-492e-8360-0e1cfe36408c_Method">
    <vt:lpwstr>Standard</vt:lpwstr>
  </property>
  <property fmtid="{D5CDD505-2E9C-101B-9397-08002B2CF9AE}" pid="5" name="MSIP_Label_3c9bec58-8084-492e-8360-0e1cfe36408c_Name">
    <vt:lpwstr>Not Protected -Pilot</vt:lpwstr>
  </property>
  <property fmtid="{D5CDD505-2E9C-101B-9397-08002B2CF9AE}" pid="6" name="MSIP_Label_3c9bec58-8084-492e-8360-0e1cfe36408c_SiteId">
    <vt:lpwstr>f35a6974-607f-47d4-82d7-ff31d7dc53a5</vt:lpwstr>
  </property>
  <property fmtid="{D5CDD505-2E9C-101B-9397-08002B2CF9AE}" pid="7" name="MSIP_Label_3c9bec58-8084-492e-8360-0e1cfe36408c_ActionId">
    <vt:lpwstr>9419ab95-aec8-4236-80c7-0ef8ae28a138</vt:lpwstr>
  </property>
  <property fmtid="{D5CDD505-2E9C-101B-9397-08002B2CF9AE}" pid="8" name="MSIP_Label_3c9bec58-8084-492e-8360-0e1cfe36408c_ContentBits">
    <vt:lpwstr>0</vt:lpwstr>
  </property>
</Properties>
</file>