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E9DD27" w14:textId="29EDDB64" w:rsidR="00F06C69" w:rsidRPr="000B6B55" w:rsidRDefault="00C877AA" w:rsidP="000B6B55">
      <w:pPr>
        <w:snapToGrid w:val="0"/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0B6B55">
        <w:rPr>
          <w:rFonts w:ascii="Times New Roman" w:hAnsi="Times New Roman" w:cs="Times New Roman"/>
          <w:b/>
          <w:sz w:val="20"/>
          <w:szCs w:val="20"/>
        </w:rPr>
        <w:t>Supporting information</w:t>
      </w:r>
    </w:p>
    <w:p w14:paraId="3D090C4D" w14:textId="1F29B9AB" w:rsidR="004A5C8C" w:rsidRPr="000B6B55" w:rsidRDefault="004A5C8C" w:rsidP="000B6B55">
      <w:pPr>
        <w:snapToGrid w:val="0"/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0B6B55">
        <w:rPr>
          <w:rFonts w:ascii="Times New Roman" w:hAnsi="Times New Roman" w:cs="Times New Roman"/>
          <w:b/>
          <w:sz w:val="20"/>
          <w:szCs w:val="20"/>
        </w:rPr>
        <w:t>Effectiveness of mental health education among high school teachers in Japan: A prospective cohort study</w:t>
      </w:r>
    </w:p>
    <w:p w14:paraId="02C4629D" w14:textId="1EC4AAD7" w:rsidR="004A5C8C" w:rsidRPr="000B6B55" w:rsidRDefault="004A5C8C" w:rsidP="000B6B55">
      <w:pPr>
        <w:snapToGrid w:val="0"/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0B6B55">
        <w:rPr>
          <w:rFonts w:ascii="Times New Roman" w:hAnsi="Times New Roman" w:cs="Times New Roman"/>
          <w:b/>
          <w:sz w:val="20"/>
          <w:szCs w:val="20"/>
        </w:rPr>
        <w:t>Journal name: Community Mental Health Journal</w:t>
      </w:r>
    </w:p>
    <w:p w14:paraId="01C53DA3" w14:textId="49D62A7F" w:rsidR="004A5C8C" w:rsidRPr="000B6B55" w:rsidRDefault="004A5C8C" w:rsidP="000B6B55">
      <w:pPr>
        <w:widowControl w:val="0"/>
        <w:autoSpaceDE w:val="0"/>
        <w:adjustRightInd w:val="0"/>
        <w:snapToGrid w:val="0"/>
        <w:spacing w:after="0" w:line="480" w:lineRule="auto"/>
        <w:rPr>
          <w:rFonts w:ascii="Times New Roman" w:eastAsia="Yu Mincho" w:hAnsi="Times New Roman" w:cs="Times New Roman"/>
          <w:kern w:val="24"/>
          <w:sz w:val="20"/>
          <w:szCs w:val="20"/>
          <w:vertAlign w:val="superscript"/>
        </w:rPr>
      </w:pPr>
      <w:r w:rsidRPr="000B6B55">
        <w:rPr>
          <w:rFonts w:ascii="Times New Roman" w:eastAsia="Yu Mincho" w:hAnsi="Times New Roman" w:cs="Times New Roman"/>
          <w:kern w:val="2"/>
          <w:sz w:val="20"/>
          <w:szCs w:val="20"/>
        </w:rPr>
        <w:t>Junichi Fujita</w:t>
      </w:r>
      <w:r w:rsidRPr="000B6B55">
        <w:rPr>
          <w:rFonts w:ascii="Times New Roman" w:eastAsia="Yu Mincho" w:hAnsi="Times New Roman" w:cs="Times New Roman"/>
          <w:kern w:val="24"/>
          <w:sz w:val="20"/>
          <w:szCs w:val="20"/>
          <w:vertAlign w:val="superscript"/>
        </w:rPr>
        <w:t>1</w:t>
      </w:r>
      <w:r w:rsidRPr="000B6B55">
        <w:rPr>
          <w:rFonts w:ascii="Times New Roman" w:hAnsi="Times New Roman" w:cs="Times New Roman"/>
          <w:kern w:val="2"/>
          <w:sz w:val="20"/>
          <w:szCs w:val="20"/>
        </w:rPr>
        <w:t>,</w:t>
      </w:r>
      <w:r w:rsidRPr="000B6B55">
        <w:rPr>
          <w:rFonts w:ascii="Times New Roman" w:eastAsia="Yu Mincho" w:hAnsi="Times New Roman" w:cs="Times New Roman"/>
          <w:kern w:val="2"/>
          <w:sz w:val="20"/>
          <w:szCs w:val="20"/>
        </w:rPr>
        <w:t xml:space="preserve"> Tsukasa Sasaki</w:t>
      </w:r>
      <w:r w:rsidR="002D73A8" w:rsidRPr="000B6B55">
        <w:rPr>
          <w:rFonts w:ascii="Times New Roman" w:eastAsia="Yu Mincho" w:hAnsi="Times New Roman" w:cs="Times New Roman"/>
          <w:kern w:val="2"/>
          <w:sz w:val="20"/>
          <w:szCs w:val="20"/>
          <w:vertAlign w:val="superscript"/>
        </w:rPr>
        <w:t>2</w:t>
      </w:r>
      <w:r w:rsidRPr="000B6B55">
        <w:rPr>
          <w:rFonts w:ascii="Times New Roman" w:eastAsia="Yu Mincho" w:hAnsi="Times New Roman" w:cs="Times New Roman"/>
          <w:kern w:val="2"/>
          <w:sz w:val="20"/>
          <w:szCs w:val="20"/>
        </w:rPr>
        <w:t>, Hidehito Miyazaki</w:t>
      </w:r>
      <w:r w:rsidR="002D73A8" w:rsidRPr="000B6B55">
        <w:rPr>
          <w:rFonts w:ascii="Times New Roman" w:eastAsia="Yu Mincho" w:hAnsi="Times New Roman" w:cs="Times New Roman"/>
          <w:kern w:val="2"/>
          <w:sz w:val="20"/>
          <w:szCs w:val="20"/>
          <w:vertAlign w:val="superscript"/>
        </w:rPr>
        <w:t>1, 3</w:t>
      </w:r>
      <w:r w:rsidRPr="000B6B55">
        <w:rPr>
          <w:rFonts w:ascii="Times New Roman" w:eastAsia="Yu Mincho" w:hAnsi="Times New Roman" w:cs="Times New Roman"/>
          <w:kern w:val="2"/>
          <w:sz w:val="20"/>
          <w:szCs w:val="20"/>
        </w:rPr>
        <w:t>, Yusuke Saigusa</w:t>
      </w:r>
      <w:r w:rsidRPr="000B6B55">
        <w:rPr>
          <w:rFonts w:ascii="Times New Roman" w:eastAsia="Yu Mincho" w:hAnsi="Times New Roman" w:cs="Times New Roman"/>
          <w:kern w:val="24"/>
          <w:sz w:val="20"/>
          <w:szCs w:val="20"/>
          <w:vertAlign w:val="superscript"/>
        </w:rPr>
        <w:t>4</w:t>
      </w:r>
      <w:r w:rsidRPr="000B6B55">
        <w:rPr>
          <w:rFonts w:ascii="Times New Roman" w:eastAsia="Yu Mincho" w:hAnsi="Times New Roman" w:cs="Times New Roman"/>
          <w:kern w:val="2"/>
          <w:sz w:val="20"/>
          <w:szCs w:val="20"/>
        </w:rPr>
        <w:t>, Noriko Mochida</w:t>
      </w:r>
      <w:r w:rsidRPr="000B6B55">
        <w:rPr>
          <w:rFonts w:ascii="Times New Roman" w:eastAsia="Yu Mincho" w:hAnsi="Times New Roman" w:cs="Times New Roman"/>
          <w:kern w:val="2"/>
          <w:sz w:val="20"/>
          <w:szCs w:val="20"/>
          <w:vertAlign w:val="superscript"/>
        </w:rPr>
        <w:t>5</w:t>
      </w:r>
      <w:r w:rsidRPr="000B6B55">
        <w:rPr>
          <w:rFonts w:ascii="Times New Roman" w:eastAsia="Yu Mincho" w:hAnsi="Times New Roman" w:cs="Times New Roman"/>
          <w:kern w:val="2"/>
          <w:sz w:val="20"/>
          <w:szCs w:val="20"/>
        </w:rPr>
        <w:t>, Kumi Aoyama</w:t>
      </w:r>
      <w:r w:rsidR="00516742" w:rsidRPr="000B6B55">
        <w:rPr>
          <w:rFonts w:ascii="Times New Roman" w:eastAsia="Yu Mincho" w:hAnsi="Times New Roman" w:cs="Times New Roman"/>
          <w:kern w:val="24"/>
          <w:sz w:val="20"/>
          <w:szCs w:val="20"/>
          <w:vertAlign w:val="superscript"/>
        </w:rPr>
        <w:t>6</w:t>
      </w:r>
      <w:r w:rsidRPr="000B6B55">
        <w:rPr>
          <w:rFonts w:ascii="Times New Roman" w:eastAsia="Yu Mincho" w:hAnsi="Times New Roman" w:cs="Times New Roman"/>
          <w:kern w:val="2"/>
          <w:sz w:val="20"/>
          <w:szCs w:val="20"/>
        </w:rPr>
        <w:t>, Yuichi Takahashi</w:t>
      </w:r>
      <w:r w:rsidRPr="000B6B55">
        <w:rPr>
          <w:rFonts w:ascii="Times New Roman" w:eastAsia="Yu Mincho" w:hAnsi="Times New Roman" w:cs="Times New Roman"/>
          <w:kern w:val="2"/>
          <w:sz w:val="20"/>
          <w:szCs w:val="20"/>
          <w:vertAlign w:val="superscript"/>
        </w:rPr>
        <w:t>2,</w:t>
      </w:r>
      <w:r w:rsidRPr="000B6B55">
        <w:rPr>
          <w:rFonts w:ascii="Times New Roman" w:eastAsia="Yu Mincho" w:hAnsi="Times New Roman" w:cs="Times New Roman"/>
          <w:kern w:val="24"/>
          <w:sz w:val="20"/>
          <w:szCs w:val="20"/>
          <w:vertAlign w:val="superscript"/>
        </w:rPr>
        <w:t>7</w:t>
      </w:r>
      <w:r w:rsidRPr="000B6B55">
        <w:rPr>
          <w:rFonts w:ascii="Times New Roman" w:eastAsia="Yu Mincho" w:hAnsi="Times New Roman" w:cs="Times New Roman"/>
          <w:kern w:val="24"/>
          <w:sz w:val="20"/>
          <w:szCs w:val="20"/>
        </w:rPr>
        <w:t>, Chiaki Hironai</w:t>
      </w:r>
      <w:r w:rsidRPr="000B6B55">
        <w:rPr>
          <w:rFonts w:ascii="Times New Roman" w:eastAsia="Yu Mincho" w:hAnsi="Times New Roman" w:cs="Times New Roman"/>
          <w:kern w:val="24"/>
          <w:sz w:val="20"/>
          <w:szCs w:val="20"/>
          <w:vertAlign w:val="superscript"/>
        </w:rPr>
        <w:t>2</w:t>
      </w:r>
      <w:r w:rsidRPr="000B6B55">
        <w:rPr>
          <w:rFonts w:ascii="Times New Roman" w:hAnsi="Times New Roman" w:cs="Times New Roman"/>
          <w:kern w:val="24"/>
          <w:sz w:val="20"/>
          <w:szCs w:val="20"/>
        </w:rPr>
        <w:t>,</w:t>
      </w:r>
      <w:r w:rsidRPr="000B6B55">
        <w:rPr>
          <w:rFonts w:ascii="Times New Roman" w:eastAsia="Yu Mincho" w:hAnsi="Times New Roman" w:cs="Times New Roman"/>
          <w:kern w:val="24"/>
          <w:sz w:val="20"/>
          <w:szCs w:val="20"/>
        </w:rPr>
        <w:t xml:space="preserve"> Kyohei Yamamoto</w:t>
      </w:r>
      <w:r w:rsidR="00516742" w:rsidRPr="000B6B55">
        <w:rPr>
          <w:rFonts w:ascii="Times New Roman" w:eastAsia="Yu Mincho" w:hAnsi="Times New Roman" w:cs="Times New Roman"/>
          <w:kern w:val="24"/>
          <w:sz w:val="20"/>
          <w:szCs w:val="20"/>
          <w:vertAlign w:val="superscript"/>
        </w:rPr>
        <w:t>9</w:t>
      </w:r>
      <w:r w:rsidRPr="000B6B55">
        <w:rPr>
          <w:rFonts w:ascii="Times New Roman" w:eastAsia="Yu Mincho" w:hAnsi="Times New Roman" w:cs="Times New Roman"/>
          <w:kern w:val="24"/>
          <w:sz w:val="20"/>
          <w:szCs w:val="20"/>
        </w:rPr>
        <w:t>, Nao Toyohara</w:t>
      </w:r>
      <w:r w:rsidR="00516742" w:rsidRPr="000B6B55">
        <w:rPr>
          <w:rFonts w:ascii="Times New Roman" w:eastAsia="Yu Mincho" w:hAnsi="Times New Roman" w:cs="Times New Roman"/>
          <w:kern w:val="24"/>
          <w:sz w:val="20"/>
          <w:szCs w:val="20"/>
          <w:vertAlign w:val="superscript"/>
        </w:rPr>
        <w:t>1</w:t>
      </w:r>
      <w:r w:rsidRPr="000B6B55">
        <w:rPr>
          <w:rFonts w:ascii="Times New Roman" w:eastAsia="Yu Mincho" w:hAnsi="Times New Roman" w:cs="Times New Roman"/>
          <w:kern w:val="24"/>
          <w:sz w:val="20"/>
          <w:szCs w:val="20"/>
        </w:rPr>
        <w:t>, Noriaki Nakamura</w:t>
      </w:r>
      <w:r w:rsidR="00516742" w:rsidRPr="000B6B55">
        <w:rPr>
          <w:rFonts w:ascii="Times New Roman" w:eastAsia="Yu Mincho" w:hAnsi="Times New Roman" w:cs="Times New Roman"/>
          <w:kern w:val="24"/>
          <w:sz w:val="20"/>
          <w:szCs w:val="20"/>
          <w:vertAlign w:val="superscript"/>
        </w:rPr>
        <w:t>9</w:t>
      </w:r>
      <w:r w:rsidRPr="000B6B55">
        <w:rPr>
          <w:rFonts w:ascii="Times New Roman" w:eastAsia="Yu Mincho" w:hAnsi="Times New Roman" w:cs="Times New Roman"/>
          <w:kern w:val="24"/>
          <w:sz w:val="20"/>
          <w:szCs w:val="20"/>
        </w:rPr>
        <w:t>, Akitoyo Hishimoto</w:t>
      </w:r>
    </w:p>
    <w:p w14:paraId="06DA3AB6" w14:textId="77777777" w:rsidR="004A5C8C" w:rsidRPr="000B6B55" w:rsidRDefault="004A5C8C" w:rsidP="000B6B55">
      <w:pPr>
        <w:widowControl w:val="0"/>
        <w:autoSpaceDE w:val="0"/>
        <w:adjustRightInd w:val="0"/>
        <w:snapToGrid w:val="0"/>
        <w:spacing w:after="0" w:line="480" w:lineRule="auto"/>
        <w:ind w:left="90" w:hanging="90"/>
        <w:rPr>
          <w:rFonts w:ascii="Times New Roman" w:eastAsia="Yu Mincho" w:hAnsi="Times New Roman" w:cs="Times New Roman"/>
          <w:kern w:val="2"/>
          <w:sz w:val="20"/>
          <w:szCs w:val="20"/>
          <w:vertAlign w:val="superscript"/>
        </w:rPr>
      </w:pPr>
    </w:p>
    <w:p w14:paraId="7D0B0DD5" w14:textId="77777777" w:rsidR="004A5C8C" w:rsidRPr="000B6B55" w:rsidRDefault="004A5C8C" w:rsidP="000B6B55">
      <w:pPr>
        <w:widowControl w:val="0"/>
        <w:autoSpaceDE w:val="0"/>
        <w:adjustRightInd w:val="0"/>
        <w:snapToGrid w:val="0"/>
        <w:spacing w:after="0" w:line="480" w:lineRule="auto"/>
        <w:ind w:left="90" w:hanging="90"/>
        <w:rPr>
          <w:rFonts w:ascii="Times New Roman" w:eastAsia="Yu Mincho" w:hAnsi="Times New Roman" w:cs="Times New Roman"/>
          <w:color w:val="000000"/>
          <w:kern w:val="2"/>
          <w:sz w:val="20"/>
          <w:szCs w:val="20"/>
          <w:vertAlign w:val="superscript"/>
        </w:rPr>
      </w:pPr>
      <w:r w:rsidRPr="000B6B55">
        <w:rPr>
          <w:rFonts w:ascii="Times New Roman" w:eastAsia="Yu Mincho" w:hAnsi="Times New Roman" w:cs="Times New Roman"/>
          <w:kern w:val="2"/>
          <w:sz w:val="20"/>
          <w:szCs w:val="20"/>
          <w:vertAlign w:val="superscript"/>
        </w:rPr>
        <w:t>1</w:t>
      </w:r>
      <w:r w:rsidRPr="000B6B55">
        <w:rPr>
          <w:rFonts w:ascii="Times New Roman" w:eastAsia="Yu Mincho" w:hAnsi="Times New Roman" w:cs="Times New Roman"/>
          <w:kern w:val="2"/>
          <w:sz w:val="20"/>
          <w:szCs w:val="20"/>
        </w:rPr>
        <w:t xml:space="preserve">Department of Child Psychiatry, </w:t>
      </w:r>
      <w:r w:rsidRPr="000B6B55">
        <w:rPr>
          <w:rFonts w:ascii="Times New Roman" w:eastAsia="Yu Mincho" w:hAnsi="Times New Roman" w:cs="Times New Roman"/>
          <w:color w:val="000000"/>
          <w:kern w:val="2"/>
          <w:sz w:val="20"/>
          <w:szCs w:val="20"/>
        </w:rPr>
        <w:t>Yokohama City University Hospital, 3-9 Fukuura, Kanazawa-ku, Yokohama, Kanagawa 236-0004, Japan</w:t>
      </w:r>
    </w:p>
    <w:p w14:paraId="2ED40F5E" w14:textId="3BF393C3" w:rsidR="004A5C8C" w:rsidRPr="000B6B55" w:rsidRDefault="002D73A8" w:rsidP="000B6B55">
      <w:pPr>
        <w:widowControl w:val="0"/>
        <w:autoSpaceDE w:val="0"/>
        <w:adjustRightInd w:val="0"/>
        <w:snapToGrid w:val="0"/>
        <w:spacing w:after="0" w:line="480" w:lineRule="auto"/>
        <w:ind w:left="90" w:hanging="90"/>
        <w:rPr>
          <w:rFonts w:ascii="Times New Roman" w:hAnsi="Times New Roman" w:cs="Times New Roman"/>
          <w:color w:val="000000"/>
          <w:kern w:val="2"/>
          <w:sz w:val="20"/>
          <w:szCs w:val="20"/>
          <w:shd w:val="clear" w:color="auto" w:fill="FFFFFF"/>
        </w:rPr>
      </w:pPr>
      <w:r w:rsidRPr="000B6B55">
        <w:rPr>
          <w:rFonts w:ascii="Times New Roman" w:eastAsia="Yu Mincho" w:hAnsi="Times New Roman" w:cs="Times New Roman"/>
          <w:color w:val="000000"/>
          <w:kern w:val="2"/>
          <w:sz w:val="20"/>
          <w:szCs w:val="20"/>
          <w:vertAlign w:val="superscript"/>
        </w:rPr>
        <w:t>2</w:t>
      </w:r>
      <w:r w:rsidR="004A5C8C" w:rsidRPr="000B6B55">
        <w:rPr>
          <w:rFonts w:ascii="Times New Roman" w:eastAsia="Yu Mincho" w:hAnsi="Times New Roman" w:cs="Times New Roman"/>
          <w:kern w:val="2"/>
          <w:sz w:val="20"/>
          <w:szCs w:val="20"/>
        </w:rPr>
        <w:t xml:space="preserve">Faculty of Education, Graduate school of Education, </w:t>
      </w:r>
      <w:r w:rsidR="004A5C8C" w:rsidRPr="000B6B55">
        <w:rPr>
          <w:rFonts w:ascii="Times New Roman" w:eastAsia="Yu Mincho" w:hAnsi="Times New Roman" w:cs="Times New Roman"/>
          <w:color w:val="000000"/>
          <w:kern w:val="2"/>
          <w:sz w:val="20"/>
          <w:szCs w:val="20"/>
        </w:rPr>
        <w:t xml:space="preserve">University of Tokyo, </w:t>
      </w:r>
      <w:r w:rsidR="004A5C8C" w:rsidRPr="000B6B55">
        <w:rPr>
          <w:rFonts w:ascii="Times New Roman" w:eastAsia="Yu Mincho" w:hAnsi="Times New Roman" w:cs="Times New Roman"/>
          <w:color w:val="000000"/>
          <w:kern w:val="2"/>
          <w:sz w:val="20"/>
          <w:szCs w:val="20"/>
          <w:shd w:val="clear" w:color="auto" w:fill="FFFFFF"/>
        </w:rPr>
        <w:t>7-3-1 Hongo,</w:t>
      </w:r>
      <w:r w:rsidR="008D3DB5" w:rsidRPr="000B6B55">
        <w:rPr>
          <w:rFonts w:ascii="Times New Roman" w:eastAsia="Yu Mincho" w:hAnsi="Times New Roman" w:cs="Times New Roman"/>
          <w:color w:val="000000"/>
          <w:kern w:val="2"/>
          <w:sz w:val="20"/>
          <w:szCs w:val="20"/>
          <w:shd w:val="clear" w:color="auto" w:fill="FFFFFF"/>
        </w:rPr>
        <w:t xml:space="preserve"> </w:t>
      </w:r>
      <w:r w:rsidR="004A5C8C" w:rsidRPr="000B6B55">
        <w:rPr>
          <w:rFonts w:ascii="Times New Roman" w:eastAsia="Yu Mincho" w:hAnsi="Times New Roman" w:cs="Times New Roman"/>
          <w:color w:val="000000"/>
          <w:kern w:val="2"/>
          <w:sz w:val="20"/>
          <w:szCs w:val="20"/>
          <w:shd w:val="clear" w:color="auto" w:fill="FFFFFF"/>
        </w:rPr>
        <w:t>Bunkyo-ku, 113-0033,</w:t>
      </w:r>
      <w:r w:rsidR="008D3DB5" w:rsidRPr="000B6B55">
        <w:rPr>
          <w:rFonts w:ascii="Times New Roman" w:eastAsia="Yu Mincho" w:hAnsi="Times New Roman" w:cs="Times New Roman"/>
          <w:color w:val="000000"/>
          <w:kern w:val="2"/>
          <w:sz w:val="20"/>
          <w:szCs w:val="20"/>
          <w:shd w:val="clear" w:color="auto" w:fill="FFFFFF"/>
        </w:rPr>
        <w:t xml:space="preserve"> </w:t>
      </w:r>
      <w:r w:rsidR="004A5C8C" w:rsidRPr="000B6B55">
        <w:rPr>
          <w:rFonts w:ascii="Times New Roman" w:eastAsia="Yu Mincho" w:hAnsi="Times New Roman" w:cs="Times New Roman"/>
          <w:color w:val="000000"/>
          <w:kern w:val="2"/>
          <w:sz w:val="20"/>
          <w:szCs w:val="20"/>
          <w:shd w:val="clear" w:color="auto" w:fill="FFFFFF"/>
        </w:rPr>
        <w:t>Tokyo, Japan</w:t>
      </w:r>
    </w:p>
    <w:p w14:paraId="62BEEE2E" w14:textId="26E8921B" w:rsidR="002D73A8" w:rsidRPr="000B6B55" w:rsidRDefault="002D73A8" w:rsidP="000B6B55">
      <w:pPr>
        <w:widowControl w:val="0"/>
        <w:autoSpaceDE w:val="0"/>
        <w:adjustRightInd w:val="0"/>
        <w:snapToGrid w:val="0"/>
        <w:spacing w:after="0" w:line="480" w:lineRule="auto"/>
        <w:ind w:left="90" w:hanging="90"/>
        <w:rPr>
          <w:rFonts w:ascii="Times New Roman" w:eastAsia="Yu Mincho" w:hAnsi="Times New Roman" w:cs="Times New Roman"/>
          <w:color w:val="000000"/>
          <w:kern w:val="2"/>
          <w:sz w:val="20"/>
          <w:szCs w:val="20"/>
        </w:rPr>
      </w:pPr>
      <w:r w:rsidRPr="000B6B55">
        <w:rPr>
          <w:rFonts w:ascii="Times New Roman" w:eastAsia="Yu Mincho" w:hAnsi="Times New Roman" w:cs="Times New Roman"/>
          <w:color w:val="000000"/>
          <w:kern w:val="2"/>
          <w:sz w:val="20"/>
          <w:szCs w:val="20"/>
          <w:vertAlign w:val="superscript"/>
        </w:rPr>
        <w:t xml:space="preserve">3 </w:t>
      </w:r>
      <w:r w:rsidRPr="000B6B55">
        <w:rPr>
          <w:rFonts w:ascii="Times New Roman" w:eastAsia="Yu Mincho" w:hAnsi="Times New Roman" w:cs="Times New Roman"/>
          <w:color w:val="000000"/>
          <w:kern w:val="2"/>
          <w:sz w:val="20"/>
          <w:szCs w:val="20"/>
        </w:rPr>
        <w:t>Yokohama Houyu Hosppital. 644-1 Kanagaya Asahi-ku, Yokohama, Kanagawa 241-0082, Japan</w:t>
      </w:r>
    </w:p>
    <w:p w14:paraId="185E652A" w14:textId="77777777" w:rsidR="004A5C8C" w:rsidRPr="000B6B55" w:rsidRDefault="004A5C8C" w:rsidP="000B6B55">
      <w:pPr>
        <w:widowControl w:val="0"/>
        <w:autoSpaceDE w:val="0"/>
        <w:adjustRightInd w:val="0"/>
        <w:snapToGrid w:val="0"/>
        <w:spacing w:after="0" w:line="480" w:lineRule="auto"/>
        <w:ind w:left="90" w:hanging="90"/>
        <w:rPr>
          <w:rFonts w:ascii="Times New Roman" w:eastAsia="Yu Mincho" w:hAnsi="Times New Roman" w:cs="Times New Roman"/>
          <w:color w:val="000000"/>
          <w:kern w:val="2"/>
          <w:sz w:val="20"/>
          <w:szCs w:val="20"/>
        </w:rPr>
      </w:pPr>
      <w:r w:rsidRPr="000B6B55">
        <w:rPr>
          <w:rFonts w:ascii="Times New Roman" w:eastAsia="Yu Mincho" w:hAnsi="Times New Roman" w:cs="Times New Roman"/>
          <w:kern w:val="2"/>
          <w:sz w:val="20"/>
          <w:szCs w:val="20"/>
          <w:vertAlign w:val="superscript"/>
        </w:rPr>
        <w:t>4</w:t>
      </w:r>
      <w:r w:rsidRPr="000B6B55">
        <w:rPr>
          <w:rFonts w:ascii="Times New Roman" w:eastAsia="Yu Mincho" w:hAnsi="Times New Roman" w:cs="Times New Roman"/>
          <w:kern w:val="2"/>
          <w:sz w:val="20"/>
          <w:szCs w:val="20"/>
        </w:rPr>
        <w:t xml:space="preserve">Department of Biostatistics, </w:t>
      </w:r>
      <w:r w:rsidRPr="000B6B55">
        <w:rPr>
          <w:rFonts w:ascii="Times New Roman" w:eastAsia="Yu Mincho" w:hAnsi="Times New Roman" w:cs="Times New Roman"/>
          <w:color w:val="000000"/>
          <w:kern w:val="2"/>
          <w:sz w:val="20"/>
          <w:szCs w:val="20"/>
        </w:rPr>
        <w:t>Yokohama City University School of Medicine, 3-9 Fukuura, Kanazawa-ku, Yokohama, Kanagawa 236-0004, Japan</w:t>
      </w:r>
    </w:p>
    <w:p w14:paraId="785BB1D4" w14:textId="77777777" w:rsidR="004A5C8C" w:rsidRPr="000B6B55" w:rsidRDefault="004A5C8C" w:rsidP="000B6B55">
      <w:pPr>
        <w:widowControl w:val="0"/>
        <w:autoSpaceDE w:val="0"/>
        <w:adjustRightInd w:val="0"/>
        <w:snapToGrid w:val="0"/>
        <w:spacing w:after="0" w:line="480" w:lineRule="auto"/>
        <w:ind w:left="90" w:hanging="90"/>
        <w:rPr>
          <w:rFonts w:ascii="Times New Roman" w:hAnsi="Times New Roman" w:cs="Times New Roman"/>
          <w:color w:val="000000"/>
          <w:kern w:val="2"/>
          <w:sz w:val="20"/>
          <w:szCs w:val="20"/>
        </w:rPr>
      </w:pPr>
      <w:r w:rsidRPr="000B6B55">
        <w:rPr>
          <w:rFonts w:ascii="Times New Roman" w:eastAsia="Yu Mincho" w:hAnsi="Times New Roman" w:cs="Times New Roman"/>
          <w:color w:val="000000"/>
          <w:kern w:val="2"/>
          <w:sz w:val="20"/>
          <w:szCs w:val="20"/>
          <w:vertAlign w:val="superscript"/>
        </w:rPr>
        <w:t>5</w:t>
      </w:r>
      <w:r w:rsidRPr="000B6B55">
        <w:rPr>
          <w:rFonts w:ascii="Times New Roman" w:eastAsia="Yu Mincho" w:hAnsi="Times New Roman" w:cs="Times New Roman"/>
          <w:color w:val="000000"/>
          <w:kern w:val="2"/>
          <w:sz w:val="20"/>
          <w:szCs w:val="20"/>
        </w:rPr>
        <w:t>Faculty of Childhood Education, Yokohama Soei University, 1 Mihocho, Midori-ku, Yokohama, Kanagawa 226-0015, Japan</w:t>
      </w:r>
    </w:p>
    <w:p w14:paraId="08AD3F4B" w14:textId="0F64ADC4" w:rsidR="00516742" w:rsidRPr="000B6B55" w:rsidRDefault="00516742" w:rsidP="000B6B55">
      <w:pPr>
        <w:widowControl w:val="0"/>
        <w:autoSpaceDE w:val="0"/>
        <w:adjustRightInd w:val="0"/>
        <w:snapToGrid w:val="0"/>
        <w:spacing w:after="0" w:line="480" w:lineRule="auto"/>
        <w:ind w:left="90" w:hanging="90"/>
        <w:rPr>
          <w:rFonts w:ascii="Times New Roman" w:eastAsia="Yu Mincho" w:hAnsi="Times New Roman" w:cs="Times New Roman"/>
          <w:kern w:val="20"/>
          <w:sz w:val="20"/>
          <w:szCs w:val="20"/>
        </w:rPr>
      </w:pPr>
      <w:r w:rsidRPr="000B6B55">
        <w:rPr>
          <w:rFonts w:ascii="Times New Roman" w:eastAsia="Yu Mincho" w:hAnsi="Times New Roman" w:cs="Times New Roman"/>
          <w:kern w:val="20"/>
          <w:sz w:val="20"/>
          <w:szCs w:val="20"/>
          <w:vertAlign w:val="superscript"/>
        </w:rPr>
        <w:t>6</w:t>
      </w:r>
      <w:r w:rsidRPr="000B6B55">
        <w:rPr>
          <w:rFonts w:ascii="Times New Roman" w:eastAsia="Yu Mincho" w:hAnsi="Times New Roman" w:cs="Times New Roman"/>
          <w:kern w:val="20"/>
          <w:sz w:val="20"/>
          <w:szCs w:val="20"/>
        </w:rPr>
        <w:t>Kanagawa Psychiatric Center, 2-5-1, Serigaya, Konan-ku, Yokohama, Kanagawa 233-0066, Japan</w:t>
      </w:r>
    </w:p>
    <w:p w14:paraId="70C20D58" w14:textId="78A2D013" w:rsidR="004A5C8C" w:rsidRPr="000B6B55" w:rsidRDefault="00516742" w:rsidP="000B6B55">
      <w:pPr>
        <w:widowControl w:val="0"/>
        <w:autoSpaceDE w:val="0"/>
        <w:adjustRightInd w:val="0"/>
        <w:snapToGrid w:val="0"/>
        <w:spacing w:after="0" w:line="480" w:lineRule="auto"/>
        <w:ind w:left="90" w:hanging="90"/>
        <w:rPr>
          <w:rFonts w:ascii="Times New Roman" w:eastAsia="Yu Mincho" w:hAnsi="Times New Roman" w:cs="Times New Roman"/>
          <w:kern w:val="2"/>
          <w:sz w:val="20"/>
          <w:szCs w:val="20"/>
        </w:rPr>
      </w:pPr>
      <w:r w:rsidRPr="000B6B55">
        <w:rPr>
          <w:rFonts w:ascii="Times New Roman" w:eastAsia="Yu Mincho" w:hAnsi="Times New Roman" w:cs="Times New Roman"/>
          <w:kern w:val="20"/>
          <w:sz w:val="20"/>
          <w:szCs w:val="20"/>
          <w:vertAlign w:val="superscript"/>
        </w:rPr>
        <w:t>7</w:t>
      </w:r>
      <w:r w:rsidR="004A5C8C" w:rsidRPr="000B6B55">
        <w:rPr>
          <w:rFonts w:ascii="Times New Roman" w:eastAsia="Yu Mincho" w:hAnsi="Times New Roman" w:cs="Times New Roman"/>
          <w:kern w:val="2"/>
          <w:sz w:val="20"/>
          <w:szCs w:val="20"/>
        </w:rPr>
        <w:t>Psychiatric Center, Yokohama City University Medical Center, 4-57, Urafune-cho, Minami-ku, Yokohama, Kanagawa 232-0024, Japan</w:t>
      </w:r>
    </w:p>
    <w:p w14:paraId="5F86E892" w14:textId="3575BD29" w:rsidR="004A5C8C" w:rsidRPr="000B6B55" w:rsidRDefault="00516742" w:rsidP="000B6B55">
      <w:pPr>
        <w:widowControl w:val="0"/>
        <w:autoSpaceDE w:val="0"/>
        <w:adjustRightInd w:val="0"/>
        <w:snapToGrid w:val="0"/>
        <w:spacing w:after="0" w:line="480" w:lineRule="auto"/>
        <w:ind w:left="90" w:hanging="90"/>
        <w:rPr>
          <w:rFonts w:ascii="Times New Roman" w:eastAsia="Yu Mincho" w:hAnsi="Times New Roman" w:cs="Times New Roman"/>
          <w:kern w:val="2"/>
          <w:sz w:val="20"/>
          <w:szCs w:val="20"/>
        </w:rPr>
      </w:pPr>
      <w:r w:rsidRPr="000B6B55">
        <w:rPr>
          <w:rFonts w:ascii="Times New Roman" w:eastAsia="Yu Mincho" w:hAnsi="Times New Roman" w:cs="Times New Roman"/>
          <w:kern w:val="2"/>
          <w:sz w:val="20"/>
          <w:szCs w:val="20"/>
          <w:vertAlign w:val="superscript"/>
        </w:rPr>
        <w:t>8</w:t>
      </w:r>
      <w:r w:rsidR="004A5C8C" w:rsidRPr="000B6B55">
        <w:rPr>
          <w:rFonts w:ascii="Times New Roman" w:eastAsia="Yu Mincho" w:hAnsi="Times New Roman" w:cs="Times New Roman"/>
          <w:kern w:val="2"/>
          <w:sz w:val="20"/>
          <w:szCs w:val="20"/>
        </w:rPr>
        <w:t>Yokohama East Area Habilitation Center for Children, 1-29 Higashikanagawa, Kanagawa-ku, Yokohama, Kanagawa 221-0044, Japan</w:t>
      </w:r>
    </w:p>
    <w:p w14:paraId="55950FC4" w14:textId="47BBFE18" w:rsidR="004A5C8C" w:rsidRPr="000B6B55" w:rsidRDefault="00516742" w:rsidP="000B6B55">
      <w:pPr>
        <w:widowControl w:val="0"/>
        <w:autoSpaceDE w:val="0"/>
        <w:adjustRightInd w:val="0"/>
        <w:snapToGrid w:val="0"/>
        <w:spacing w:after="0" w:line="480" w:lineRule="auto"/>
        <w:ind w:left="90" w:hanging="90"/>
        <w:rPr>
          <w:rFonts w:ascii="Times New Roman" w:eastAsia="Yu Mincho" w:hAnsi="Times New Roman" w:cs="Times New Roman"/>
          <w:kern w:val="2"/>
          <w:sz w:val="20"/>
          <w:szCs w:val="20"/>
        </w:rPr>
      </w:pPr>
      <w:r w:rsidRPr="000B6B55">
        <w:rPr>
          <w:rFonts w:ascii="Times New Roman" w:eastAsia="Yu Mincho" w:hAnsi="Times New Roman" w:cs="Times New Roman"/>
          <w:kern w:val="2"/>
          <w:sz w:val="20"/>
          <w:szCs w:val="20"/>
          <w:vertAlign w:val="superscript"/>
        </w:rPr>
        <w:t>9</w:t>
      </w:r>
      <w:r w:rsidR="004A5C8C" w:rsidRPr="000B6B55">
        <w:rPr>
          <w:rFonts w:ascii="Times New Roman" w:eastAsia="Yu Mincho" w:hAnsi="Times New Roman" w:cs="Times New Roman"/>
          <w:kern w:val="2"/>
          <w:sz w:val="20"/>
          <w:szCs w:val="20"/>
        </w:rPr>
        <w:t xml:space="preserve">Department of Child and Adolescent Psychiatry, Kanagawa Children’s Medical Center, 2-138-4 Mutsukawa, Minami-ku, </w:t>
      </w:r>
      <w:bookmarkStart w:id="0" w:name="_Hlk80531931"/>
      <w:r w:rsidR="004A5C8C" w:rsidRPr="000B6B55">
        <w:rPr>
          <w:rFonts w:ascii="Times New Roman" w:eastAsia="Yu Mincho" w:hAnsi="Times New Roman" w:cs="Times New Roman"/>
          <w:kern w:val="2"/>
          <w:sz w:val="20"/>
          <w:szCs w:val="20"/>
        </w:rPr>
        <w:t>Yokohama, Kanagawa 232-8555, Japan</w:t>
      </w:r>
    </w:p>
    <w:p w14:paraId="0B82BF55" w14:textId="23A3D024" w:rsidR="00516742" w:rsidRPr="000B6B55" w:rsidRDefault="00516742" w:rsidP="000B6B55">
      <w:pPr>
        <w:widowControl w:val="0"/>
        <w:autoSpaceDE w:val="0"/>
        <w:adjustRightInd w:val="0"/>
        <w:snapToGrid w:val="0"/>
        <w:spacing w:after="0" w:line="480" w:lineRule="auto"/>
        <w:ind w:left="90" w:hanging="90"/>
        <w:rPr>
          <w:rFonts w:ascii="Times New Roman" w:eastAsia="Yu Mincho" w:hAnsi="Times New Roman" w:cs="Times New Roman"/>
          <w:kern w:val="2"/>
          <w:sz w:val="20"/>
          <w:szCs w:val="20"/>
        </w:rPr>
      </w:pPr>
      <w:r w:rsidRPr="000B6B55">
        <w:rPr>
          <w:rFonts w:ascii="Times New Roman" w:eastAsia="Yu Mincho" w:hAnsi="Times New Roman" w:cs="Times New Roman"/>
          <w:kern w:val="2"/>
          <w:sz w:val="20"/>
          <w:szCs w:val="20"/>
          <w:vertAlign w:val="superscript"/>
        </w:rPr>
        <w:t>10</w:t>
      </w:r>
      <w:r w:rsidRPr="000B6B55">
        <w:rPr>
          <w:rFonts w:ascii="Times New Roman" w:eastAsia="Yu Mincho" w:hAnsi="Times New Roman" w:cs="Times New Roman"/>
          <w:kern w:val="2"/>
          <w:sz w:val="20"/>
          <w:szCs w:val="20"/>
        </w:rPr>
        <w:t xml:space="preserve">Department of Psychiatry Kobe University Graduate School of Medicine, </w:t>
      </w:r>
      <w:r w:rsidR="00781D65" w:rsidRPr="000B6B55">
        <w:rPr>
          <w:rFonts w:ascii="Times New Roman" w:eastAsia="Yu Mincho" w:hAnsi="Times New Roman" w:cs="Times New Roman"/>
          <w:kern w:val="2"/>
          <w:sz w:val="20"/>
          <w:szCs w:val="20"/>
        </w:rPr>
        <w:t>7-5-1</w:t>
      </w:r>
      <w:r w:rsidR="00415108" w:rsidRPr="000B6B55">
        <w:rPr>
          <w:rFonts w:ascii="Times New Roman" w:eastAsia="Yu Mincho" w:hAnsi="Times New Roman" w:cs="Times New Roman"/>
          <w:kern w:val="2"/>
          <w:sz w:val="20"/>
          <w:szCs w:val="20"/>
        </w:rPr>
        <w:t xml:space="preserve"> </w:t>
      </w:r>
      <w:r w:rsidR="00781D65" w:rsidRPr="000B6B55">
        <w:rPr>
          <w:rFonts w:ascii="Times New Roman" w:eastAsia="Yu Mincho" w:hAnsi="Times New Roman" w:cs="Times New Roman"/>
          <w:kern w:val="2"/>
          <w:sz w:val="20"/>
          <w:szCs w:val="20"/>
        </w:rPr>
        <w:t>Kusunokicho, Kobe Chuo-ku, Hyogo, 650-0017</w:t>
      </w:r>
      <w:r w:rsidR="008D3DB5" w:rsidRPr="000B6B55">
        <w:rPr>
          <w:rFonts w:ascii="Times New Roman" w:eastAsia="Yu Mincho" w:hAnsi="Times New Roman" w:cs="Times New Roman"/>
          <w:kern w:val="2"/>
          <w:sz w:val="20"/>
          <w:szCs w:val="20"/>
        </w:rPr>
        <w:t>,</w:t>
      </w:r>
      <w:r w:rsidR="00781D65" w:rsidRPr="000B6B55">
        <w:rPr>
          <w:rFonts w:ascii="Times New Roman" w:eastAsia="Yu Mincho" w:hAnsi="Times New Roman" w:cs="Times New Roman"/>
          <w:kern w:val="2"/>
          <w:sz w:val="20"/>
          <w:szCs w:val="20"/>
        </w:rPr>
        <w:t xml:space="preserve"> Japan</w:t>
      </w:r>
    </w:p>
    <w:p w14:paraId="5E74A960" w14:textId="27070E3D" w:rsidR="000B6B55" w:rsidRPr="000B6B55" w:rsidRDefault="000B6B55" w:rsidP="000B6B55">
      <w:pPr>
        <w:widowControl w:val="0"/>
        <w:autoSpaceDE w:val="0"/>
        <w:adjustRightInd w:val="0"/>
        <w:snapToGrid w:val="0"/>
        <w:spacing w:after="0" w:line="480" w:lineRule="auto"/>
        <w:ind w:left="90" w:hanging="90"/>
        <w:rPr>
          <w:rFonts w:ascii="Times New Roman" w:eastAsia="Yu Mincho" w:hAnsi="Times New Roman" w:cs="Times New Roman"/>
          <w:kern w:val="2"/>
          <w:sz w:val="20"/>
          <w:szCs w:val="20"/>
        </w:rPr>
      </w:pPr>
    </w:p>
    <w:p w14:paraId="7DDF291D" w14:textId="77777777" w:rsidR="000B6B55" w:rsidRPr="000B6B55" w:rsidRDefault="000B6B55" w:rsidP="000B6B55">
      <w:pPr>
        <w:autoSpaceDE w:val="0"/>
        <w:adjustRightInd w:val="0"/>
        <w:snapToGrid w:val="0"/>
        <w:spacing w:after="0" w:line="480" w:lineRule="auto"/>
        <w:rPr>
          <w:rFonts w:ascii="Times New Roman" w:hAnsi="Times New Roman" w:cs="Times New Roman"/>
          <w:bCs/>
          <w:sz w:val="20"/>
          <w:szCs w:val="20"/>
        </w:rPr>
      </w:pPr>
      <w:r w:rsidRPr="000B6B55">
        <w:rPr>
          <w:rFonts w:ascii="Times New Roman" w:hAnsi="Times New Roman" w:cs="Times New Roman"/>
          <w:b/>
          <w:bCs/>
          <w:sz w:val="20"/>
          <w:szCs w:val="20"/>
        </w:rPr>
        <w:t xml:space="preserve">Corresponding author: </w:t>
      </w:r>
      <w:r w:rsidRPr="000B6B55">
        <w:rPr>
          <w:rFonts w:ascii="Times New Roman" w:hAnsi="Times New Roman" w:cs="Times New Roman"/>
          <w:bCs/>
          <w:sz w:val="20"/>
          <w:szCs w:val="20"/>
        </w:rPr>
        <w:t>Junichi Fujita</w:t>
      </w:r>
    </w:p>
    <w:p w14:paraId="3D86EFF6" w14:textId="77777777" w:rsidR="000B6B55" w:rsidRPr="000B6B55" w:rsidRDefault="000B6B55" w:rsidP="000B6B55">
      <w:pPr>
        <w:autoSpaceDE w:val="0"/>
        <w:adjustRightInd w:val="0"/>
        <w:snapToGrid w:val="0"/>
        <w:spacing w:after="0" w:line="480" w:lineRule="auto"/>
        <w:rPr>
          <w:rStyle w:val="Hyperlink"/>
          <w:rFonts w:ascii="Times New Roman" w:hAnsi="Times New Roman" w:cs="Times New Roman"/>
          <w:bCs/>
          <w:sz w:val="20"/>
          <w:szCs w:val="20"/>
        </w:rPr>
      </w:pPr>
      <w:r w:rsidRPr="000B6B55">
        <w:rPr>
          <w:rFonts w:ascii="Times New Roman" w:hAnsi="Times New Roman" w:cs="Times New Roman"/>
          <w:bCs/>
          <w:sz w:val="20"/>
          <w:szCs w:val="20"/>
        </w:rPr>
        <w:t xml:space="preserve">E-mail: </w:t>
      </w:r>
      <w:hyperlink r:id="rId7" w:history="1">
        <w:r w:rsidRPr="000B6B55">
          <w:rPr>
            <w:rStyle w:val="Hyperlink"/>
            <w:rFonts w:ascii="Times New Roman" w:hAnsi="Times New Roman" w:cs="Times New Roman"/>
            <w:bCs/>
            <w:sz w:val="20"/>
            <w:szCs w:val="20"/>
          </w:rPr>
          <w:t>jun1182@yokohama-cu.ac.jp</w:t>
        </w:r>
      </w:hyperlink>
      <w:bookmarkEnd w:id="0"/>
    </w:p>
    <w:p w14:paraId="5EB389F2" w14:textId="77777777" w:rsidR="000B6B55" w:rsidRPr="000B6B55" w:rsidRDefault="000B6B55" w:rsidP="000B6B55">
      <w:pPr>
        <w:autoSpaceDE w:val="0"/>
        <w:adjustRightInd w:val="0"/>
        <w:snapToGrid w:val="0"/>
        <w:spacing w:after="0" w:line="480" w:lineRule="auto"/>
        <w:rPr>
          <w:rStyle w:val="Hyperlink"/>
          <w:rFonts w:ascii="Times New Roman" w:hAnsi="Times New Roman" w:cs="Times New Roman"/>
          <w:bCs/>
          <w:sz w:val="20"/>
          <w:szCs w:val="20"/>
        </w:rPr>
      </w:pPr>
    </w:p>
    <w:p w14:paraId="495DE3A6" w14:textId="1B992526" w:rsidR="00C877AA" w:rsidRPr="00213DD7" w:rsidRDefault="00E77747" w:rsidP="00213DD7">
      <w:pPr>
        <w:autoSpaceDE w:val="0"/>
        <w:adjustRightInd w:val="0"/>
        <w:snapToGrid w:val="0"/>
        <w:spacing w:after="0" w:line="480" w:lineRule="auto"/>
        <w:rPr>
          <w:rFonts w:ascii="Times New Roman" w:hAnsi="Times New Roman" w:cs="Times New Roman"/>
          <w:bCs/>
          <w:color w:val="0563C1" w:themeColor="hyperlink"/>
          <w:sz w:val="20"/>
          <w:szCs w:val="20"/>
          <w:u w:val="single"/>
        </w:rPr>
      </w:pPr>
      <w:r w:rsidRPr="000B6B55">
        <w:rPr>
          <w:rFonts w:ascii="Times New Roman" w:hAnsi="Times New Roman" w:cs="Times New Roman"/>
          <w:b/>
          <w:bCs/>
          <w:sz w:val="20"/>
          <w:szCs w:val="20"/>
        </w:rPr>
        <w:t xml:space="preserve">Supplemental Table 1. </w:t>
      </w:r>
      <w:r w:rsidRPr="000B6B55">
        <w:rPr>
          <w:rFonts w:ascii="Times New Roman" w:hAnsi="Times New Roman" w:cs="Times New Roman"/>
          <w:sz w:val="20"/>
          <w:szCs w:val="20"/>
        </w:rPr>
        <w:t>Proportion of participants providing correct answers to each questionnaire section at pretest, posttest, and 1 year after</w:t>
      </w:r>
      <w:r w:rsidR="005A447D" w:rsidRPr="000B6B55">
        <w:rPr>
          <w:rFonts w:ascii="Times New Roman" w:hAnsi="Times New Roman" w:cs="Times New Roman"/>
          <w:sz w:val="20"/>
          <w:szCs w:val="20"/>
        </w:rPr>
        <w:t>test</w:t>
      </w:r>
      <w:r w:rsidRPr="000B6B55">
        <w:rPr>
          <w:rFonts w:ascii="Times New Roman" w:hAnsi="Times New Roman" w:cs="Times New Roman"/>
          <w:sz w:val="20"/>
          <w:szCs w:val="20"/>
        </w:rPr>
        <w:t xml:space="preserve"> (N = 130)</w:t>
      </w:r>
      <w:bookmarkStart w:id="1" w:name="_GoBack"/>
      <w:bookmarkEnd w:id="1"/>
    </w:p>
    <w:tbl>
      <w:tblPr>
        <w:tblStyle w:val="TableGridLight1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31"/>
        <w:gridCol w:w="1153"/>
        <w:gridCol w:w="1153"/>
        <w:gridCol w:w="1239"/>
      </w:tblGrid>
      <w:tr w:rsidR="004A5C8C" w:rsidRPr="000B6B55" w14:paraId="1F44E6ED" w14:textId="77777777" w:rsidTr="00A1006B">
        <w:trPr>
          <w:trHeight w:val="326"/>
        </w:trPr>
        <w:tc>
          <w:tcPr>
            <w:tcW w:w="3149" w:type="pc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5BCD09DE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640075EB" w14:textId="3AD4C668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</w:t>
            </w:r>
          </w:p>
        </w:tc>
        <w:tc>
          <w:tcPr>
            <w:tcW w:w="602" w:type="pc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00B8A446" w14:textId="0FCC4B91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Post</w:t>
            </w:r>
          </w:p>
        </w:tc>
        <w:tc>
          <w:tcPr>
            <w:tcW w:w="647" w:type="pct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4682B41F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1-year after</w:t>
            </w:r>
          </w:p>
        </w:tc>
      </w:tr>
      <w:tr w:rsidR="004A5C8C" w:rsidRPr="000B6B55" w14:paraId="3F1557C3" w14:textId="77777777" w:rsidTr="00A1006B">
        <w:trPr>
          <w:trHeight w:val="326"/>
        </w:trPr>
        <w:tc>
          <w:tcPr>
            <w:tcW w:w="3149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315BD2FD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602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2AB9F2ED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602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3AA93EB9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647" w:type="pct"/>
            <w:tcBorders>
              <w:top w:val="nil"/>
              <w:bottom w:val="single" w:sz="4" w:space="0" w:color="auto"/>
            </w:tcBorders>
            <w:shd w:val="clear" w:color="auto" w:fill="auto"/>
            <w:hideMark/>
          </w:tcPr>
          <w:p w14:paraId="09D803C5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</w:tr>
      <w:tr w:rsidR="004A5C8C" w:rsidRPr="000B6B55" w14:paraId="3E7E0E8D" w14:textId="77777777" w:rsidTr="00A1006B">
        <w:trPr>
          <w:trHeight w:val="326"/>
        </w:trPr>
        <w:tc>
          <w:tcPr>
            <w:tcW w:w="3149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30D49A59" w14:textId="13E27D5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A) Self-injury/suicide among adolescents</w:t>
            </w:r>
          </w:p>
        </w:tc>
        <w:tc>
          <w:tcPr>
            <w:tcW w:w="602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67321F3F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08E5A8B4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6D85BBAF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C8C" w:rsidRPr="000B6B55" w14:paraId="272D3780" w14:textId="77777777" w:rsidTr="00A1006B">
        <w:trPr>
          <w:trHeight w:val="304"/>
        </w:trPr>
        <w:tc>
          <w:tcPr>
            <w:tcW w:w="3149" w:type="pct"/>
            <w:shd w:val="clear" w:color="auto" w:fill="auto"/>
            <w:hideMark/>
          </w:tcPr>
          <w:p w14:paraId="0501194F" w14:textId="72EF222F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Cause of death among 15–19-year-old adolescents in Japan.</w:t>
            </w:r>
          </w:p>
        </w:tc>
        <w:tc>
          <w:tcPr>
            <w:tcW w:w="602" w:type="pct"/>
            <w:shd w:val="clear" w:color="auto" w:fill="auto"/>
            <w:hideMark/>
          </w:tcPr>
          <w:p w14:paraId="16349643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87 (66.9)</w:t>
            </w:r>
          </w:p>
        </w:tc>
        <w:tc>
          <w:tcPr>
            <w:tcW w:w="602" w:type="pct"/>
            <w:shd w:val="clear" w:color="auto" w:fill="auto"/>
            <w:hideMark/>
          </w:tcPr>
          <w:p w14:paraId="7A754268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123 (94.6)*</w:t>
            </w:r>
          </w:p>
        </w:tc>
        <w:tc>
          <w:tcPr>
            <w:tcW w:w="647" w:type="pct"/>
            <w:shd w:val="clear" w:color="auto" w:fill="auto"/>
            <w:hideMark/>
          </w:tcPr>
          <w:p w14:paraId="7F818737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97 (74.6)*</w:t>
            </w:r>
          </w:p>
        </w:tc>
      </w:tr>
      <w:tr w:rsidR="004A5C8C" w:rsidRPr="000B6B55" w14:paraId="595462F7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0CB70058" w14:textId="0F147233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Biopsychosocial background associated with suicide.</w:t>
            </w:r>
          </w:p>
        </w:tc>
        <w:tc>
          <w:tcPr>
            <w:tcW w:w="602" w:type="pct"/>
            <w:shd w:val="clear" w:color="auto" w:fill="auto"/>
            <w:hideMark/>
          </w:tcPr>
          <w:p w14:paraId="6394F773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69 (53.1)</w:t>
            </w:r>
          </w:p>
        </w:tc>
        <w:tc>
          <w:tcPr>
            <w:tcW w:w="602" w:type="pct"/>
            <w:shd w:val="clear" w:color="auto" w:fill="auto"/>
            <w:hideMark/>
          </w:tcPr>
          <w:p w14:paraId="64E5DB8E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93 (71.5)*</w:t>
            </w:r>
          </w:p>
        </w:tc>
        <w:tc>
          <w:tcPr>
            <w:tcW w:w="647" w:type="pct"/>
            <w:shd w:val="clear" w:color="auto" w:fill="auto"/>
            <w:hideMark/>
          </w:tcPr>
          <w:p w14:paraId="6124BC30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70 (53.8)</w:t>
            </w:r>
          </w:p>
        </w:tc>
      </w:tr>
      <w:tr w:rsidR="004A5C8C" w:rsidRPr="000B6B55" w14:paraId="781BAB23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15657C4B" w14:textId="1E6DD736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Characteristics of self-injury.</w:t>
            </w:r>
          </w:p>
        </w:tc>
        <w:tc>
          <w:tcPr>
            <w:tcW w:w="602" w:type="pct"/>
            <w:shd w:val="clear" w:color="auto" w:fill="auto"/>
            <w:hideMark/>
          </w:tcPr>
          <w:p w14:paraId="715E0590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46 (35.4)</w:t>
            </w:r>
          </w:p>
        </w:tc>
        <w:tc>
          <w:tcPr>
            <w:tcW w:w="602" w:type="pct"/>
            <w:shd w:val="clear" w:color="auto" w:fill="auto"/>
            <w:hideMark/>
          </w:tcPr>
          <w:p w14:paraId="3F08479E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103 (79.2)*</w:t>
            </w:r>
          </w:p>
        </w:tc>
        <w:tc>
          <w:tcPr>
            <w:tcW w:w="647" w:type="pct"/>
            <w:shd w:val="clear" w:color="auto" w:fill="auto"/>
            <w:hideMark/>
          </w:tcPr>
          <w:p w14:paraId="3BB05E3A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46 (35.4)</w:t>
            </w:r>
          </w:p>
        </w:tc>
      </w:tr>
      <w:tr w:rsidR="004A5C8C" w:rsidRPr="000B6B55" w14:paraId="08D2091F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58815646" w14:textId="6DD2ABB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How to deal with students’ suicidal thoughts.</w:t>
            </w:r>
          </w:p>
        </w:tc>
        <w:tc>
          <w:tcPr>
            <w:tcW w:w="602" w:type="pct"/>
            <w:shd w:val="clear" w:color="auto" w:fill="auto"/>
            <w:hideMark/>
          </w:tcPr>
          <w:p w14:paraId="74D79F4E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92 (70.8)</w:t>
            </w:r>
          </w:p>
        </w:tc>
        <w:tc>
          <w:tcPr>
            <w:tcW w:w="602" w:type="pct"/>
            <w:shd w:val="clear" w:color="auto" w:fill="auto"/>
            <w:hideMark/>
          </w:tcPr>
          <w:p w14:paraId="0F077869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122 (93.8)*</w:t>
            </w:r>
          </w:p>
        </w:tc>
        <w:tc>
          <w:tcPr>
            <w:tcW w:w="647" w:type="pct"/>
            <w:shd w:val="clear" w:color="auto" w:fill="auto"/>
            <w:hideMark/>
          </w:tcPr>
          <w:p w14:paraId="2CA31E66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107 (82.3)*</w:t>
            </w:r>
          </w:p>
        </w:tc>
      </w:tr>
      <w:tr w:rsidR="004A5C8C" w:rsidRPr="000B6B55" w14:paraId="502F25BA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7CB4AA79" w14:textId="46127701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Highly urgent suicidal behavior.</w:t>
            </w:r>
          </w:p>
        </w:tc>
        <w:tc>
          <w:tcPr>
            <w:tcW w:w="602" w:type="pct"/>
            <w:shd w:val="clear" w:color="auto" w:fill="auto"/>
            <w:hideMark/>
          </w:tcPr>
          <w:p w14:paraId="39FCD759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55 (42.3)</w:t>
            </w:r>
          </w:p>
        </w:tc>
        <w:tc>
          <w:tcPr>
            <w:tcW w:w="602" w:type="pct"/>
            <w:shd w:val="clear" w:color="auto" w:fill="auto"/>
            <w:hideMark/>
          </w:tcPr>
          <w:p w14:paraId="33DE40AF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85 (66.4)*</w:t>
            </w:r>
          </w:p>
        </w:tc>
        <w:tc>
          <w:tcPr>
            <w:tcW w:w="647" w:type="pct"/>
            <w:shd w:val="clear" w:color="auto" w:fill="auto"/>
            <w:hideMark/>
          </w:tcPr>
          <w:p w14:paraId="70643AC2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61 (46.9)</w:t>
            </w:r>
          </w:p>
        </w:tc>
      </w:tr>
      <w:tr w:rsidR="004A5C8C" w:rsidRPr="000B6B55" w14:paraId="506D3226" w14:textId="77777777" w:rsidTr="00A1006B">
        <w:trPr>
          <w:trHeight w:val="324"/>
        </w:trPr>
        <w:tc>
          <w:tcPr>
            <w:tcW w:w="3149" w:type="pct"/>
            <w:shd w:val="clear" w:color="auto" w:fill="auto"/>
            <w:hideMark/>
          </w:tcPr>
          <w:p w14:paraId="3BC73726" w14:textId="4A2E2253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Expected behavior of educators who encounter suicidal behavior in a school setting.</w:t>
            </w:r>
          </w:p>
        </w:tc>
        <w:tc>
          <w:tcPr>
            <w:tcW w:w="602" w:type="pct"/>
            <w:shd w:val="clear" w:color="auto" w:fill="auto"/>
            <w:hideMark/>
          </w:tcPr>
          <w:p w14:paraId="649B79D4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89 (68.5)</w:t>
            </w:r>
          </w:p>
        </w:tc>
        <w:tc>
          <w:tcPr>
            <w:tcW w:w="602" w:type="pct"/>
            <w:shd w:val="clear" w:color="auto" w:fill="auto"/>
            <w:hideMark/>
          </w:tcPr>
          <w:p w14:paraId="3B9DAFBB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96 (73.8)</w:t>
            </w:r>
          </w:p>
        </w:tc>
        <w:tc>
          <w:tcPr>
            <w:tcW w:w="647" w:type="pct"/>
            <w:shd w:val="clear" w:color="auto" w:fill="auto"/>
            <w:hideMark/>
          </w:tcPr>
          <w:p w14:paraId="2B6B5A1F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77 (59.2)</w:t>
            </w:r>
          </w:p>
        </w:tc>
      </w:tr>
      <w:tr w:rsidR="004A5C8C" w:rsidRPr="000B6B55" w14:paraId="71C52AC3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0829C24F" w14:textId="66E79FF1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B) Behavioral problems associated with developmental disabilities</w:t>
            </w:r>
          </w:p>
        </w:tc>
        <w:tc>
          <w:tcPr>
            <w:tcW w:w="602" w:type="pct"/>
            <w:shd w:val="clear" w:color="auto" w:fill="auto"/>
            <w:hideMark/>
          </w:tcPr>
          <w:p w14:paraId="451016C2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shd w:val="clear" w:color="auto" w:fill="auto"/>
            <w:hideMark/>
          </w:tcPr>
          <w:p w14:paraId="1545E3F3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pct"/>
            <w:shd w:val="clear" w:color="auto" w:fill="auto"/>
            <w:hideMark/>
          </w:tcPr>
          <w:p w14:paraId="3546A217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C8C" w:rsidRPr="000B6B55" w14:paraId="64990A87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340675F3" w14:textId="5EEFDFED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Percentage of students with difficulties in classrooms in Japan.</w:t>
            </w:r>
          </w:p>
        </w:tc>
        <w:tc>
          <w:tcPr>
            <w:tcW w:w="602" w:type="pct"/>
            <w:shd w:val="clear" w:color="auto" w:fill="auto"/>
            <w:hideMark/>
          </w:tcPr>
          <w:p w14:paraId="76E7AF89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67 (51.5)</w:t>
            </w:r>
          </w:p>
        </w:tc>
        <w:tc>
          <w:tcPr>
            <w:tcW w:w="602" w:type="pct"/>
            <w:shd w:val="clear" w:color="auto" w:fill="auto"/>
            <w:hideMark/>
          </w:tcPr>
          <w:p w14:paraId="314606D1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116 (89.2)*</w:t>
            </w:r>
          </w:p>
        </w:tc>
        <w:tc>
          <w:tcPr>
            <w:tcW w:w="647" w:type="pct"/>
            <w:shd w:val="clear" w:color="auto" w:fill="auto"/>
            <w:hideMark/>
          </w:tcPr>
          <w:p w14:paraId="66805711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66 (50.8)</w:t>
            </w:r>
          </w:p>
        </w:tc>
      </w:tr>
      <w:tr w:rsidR="004A5C8C" w:rsidRPr="000B6B55" w14:paraId="7B3406F9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5E35D7B3" w14:textId="336E7F35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 xml:space="preserve">Medical definition of developmental disabilities. </w:t>
            </w:r>
          </w:p>
        </w:tc>
        <w:tc>
          <w:tcPr>
            <w:tcW w:w="602" w:type="pct"/>
            <w:shd w:val="clear" w:color="auto" w:fill="auto"/>
            <w:hideMark/>
          </w:tcPr>
          <w:p w14:paraId="52A0D521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70 (53.8)</w:t>
            </w:r>
          </w:p>
        </w:tc>
        <w:tc>
          <w:tcPr>
            <w:tcW w:w="602" w:type="pct"/>
            <w:shd w:val="clear" w:color="auto" w:fill="auto"/>
            <w:hideMark/>
          </w:tcPr>
          <w:p w14:paraId="7F1D2A6D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100 (76.9)*</w:t>
            </w:r>
          </w:p>
        </w:tc>
        <w:tc>
          <w:tcPr>
            <w:tcW w:w="647" w:type="pct"/>
            <w:shd w:val="clear" w:color="auto" w:fill="auto"/>
            <w:hideMark/>
          </w:tcPr>
          <w:p w14:paraId="1CF196D4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60 (46.2)</w:t>
            </w:r>
          </w:p>
        </w:tc>
      </w:tr>
      <w:tr w:rsidR="004A5C8C" w:rsidRPr="000B6B55" w14:paraId="5B99CF79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15FC74FF" w14:textId="3F3EF524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 xml:space="preserve">Expected support for students with attention deficit/hyperactivity disorder. </w:t>
            </w:r>
          </w:p>
        </w:tc>
        <w:tc>
          <w:tcPr>
            <w:tcW w:w="602" w:type="pct"/>
            <w:shd w:val="clear" w:color="auto" w:fill="auto"/>
            <w:hideMark/>
          </w:tcPr>
          <w:p w14:paraId="11211BE7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107 (82.3)</w:t>
            </w:r>
          </w:p>
        </w:tc>
        <w:tc>
          <w:tcPr>
            <w:tcW w:w="602" w:type="pct"/>
            <w:shd w:val="clear" w:color="auto" w:fill="auto"/>
            <w:hideMark/>
          </w:tcPr>
          <w:p w14:paraId="3E382869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107 (82.3)</w:t>
            </w:r>
          </w:p>
        </w:tc>
        <w:tc>
          <w:tcPr>
            <w:tcW w:w="647" w:type="pct"/>
            <w:shd w:val="clear" w:color="auto" w:fill="auto"/>
            <w:hideMark/>
          </w:tcPr>
          <w:p w14:paraId="0B732687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118 (90.8)</w:t>
            </w:r>
          </w:p>
        </w:tc>
      </w:tr>
      <w:tr w:rsidR="004A5C8C" w:rsidRPr="000B6B55" w14:paraId="059A2756" w14:textId="77777777" w:rsidTr="00A1006B">
        <w:trPr>
          <w:trHeight w:val="287"/>
        </w:trPr>
        <w:tc>
          <w:tcPr>
            <w:tcW w:w="3149" w:type="pct"/>
            <w:shd w:val="clear" w:color="auto" w:fill="auto"/>
            <w:hideMark/>
          </w:tcPr>
          <w:p w14:paraId="36B94B45" w14:textId="1245E3B6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How to deal with students who cannot complete assignments due to developmental problems.</w:t>
            </w:r>
          </w:p>
        </w:tc>
        <w:tc>
          <w:tcPr>
            <w:tcW w:w="602" w:type="pct"/>
            <w:shd w:val="clear" w:color="auto" w:fill="auto"/>
            <w:hideMark/>
          </w:tcPr>
          <w:p w14:paraId="7D8968A2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121 (93.1)</w:t>
            </w:r>
          </w:p>
        </w:tc>
        <w:tc>
          <w:tcPr>
            <w:tcW w:w="602" w:type="pct"/>
            <w:shd w:val="clear" w:color="auto" w:fill="auto"/>
            <w:hideMark/>
          </w:tcPr>
          <w:p w14:paraId="1B801580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123 (94.6)</w:t>
            </w:r>
          </w:p>
        </w:tc>
        <w:tc>
          <w:tcPr>
            <w:tcW w:w="647" w:type="pct"/>
            <w:shd w:val="clear" w:color="auto" w:fill="auto"/>
            <w:hideMark/>
          </w:tcPr>
          <w:p w14:paraId="1BC592B7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124 (95.2)</w:t>
            </w:r>
          </w:p>
        </w:tc>
      </w:tr>
      <w:tr w:rsidR="004A5C8C" w:rsidRPr="000B6B55" w14:paraId="176F9319" w14:textId="77777777" w:rsidTr="00A1006B">
        <w:trPr>
          <w:trHeight w:val="313"/>
        </w:trPr>
        <w:tc>
          <w:tcPr>
            <w:tcW w:w="3149" w:type="pct"/>
            <w:shd w:val="clear" w:color="auto" w:fill="auto"/>
            <w:hideMark/>
          </w:tcPr>
          <w:p w14:paraId="05E3D235" w14:textId="39CF9DF5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How to provide information to parents about the need for medical evaluation of developmental disabilities.</w:t>
            </w:r>
          </w:p>
        </w:tc>
        <w:tc>
          <w:tcPr>
            <w:tcW w:w="602" w:type="pct"/>
            <w:shd w:val="clear" w:color="auto" w:fill="auto"/>
            <w:hideMark/>
          </w:tcPr>
          <w:p w14:paraId="1003E511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119 (91.5)</w:t>
            </w:r>
          </w:p>
        </w:tc>
        <w:tc>
          <w:tcPr>
            <w:tcW w:w="602" w:type="pct"/>
            <w:shd w:val="clear" w:color="auto" w:fill="auto"/>
            <w:hideMark/>
          </w:tcPr>
          <w:p w14:paraId="00777E4B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122 (93.8)</w:t>
            </w:r>
          </w:p>
        </w:tc>
        <w:tc>
          <w:tcPr>
            <w:tcW w:w="647" w:type="pct"/>
            <w:shd w:val="clear" w:color="auto" w:fill="auto"/>
            <w:hideMark/>
          </w:tcPr>
          <w:p w14:paraId="0334B0CE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108 (83.1)</w:t>
            </w:r>
          </w:p>
        </w:tc>
      </w:tr>
      <w:tr w:rsidR="004A5C8C" w:rsidRPr="000B6B55" w14:paraId="341348F0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2E6AF744" w14:textId="4061B14C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How to support students with developmental disabilities adjusting in the classroom.</w:t>
            </w:r>
          </w:p>
        </w:tc>
        <w:tc>
          <w:tcPr>
            <w:tcW w:w="602" w:type="pct"/>
            <w:shd w:val="clear" w:color="auto" w:fill="auto"/>
            <w:hideMark/>
          </w:tcPr>
          <w:p w14:paraId="589CBA57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114 (87.7)</w:t>
            </w:r>
          </w:p>
        </w:tc>
        <w:tc>
          <w:tcPr>
            <w:tcW w:w="602" w:type="pct"/>
            <w:shd w:val="clear" w:color="auto" w:fill="auto"/>
            <w:hideMark/>
          </w:tcPr>
          <w:p w14:paraId="0FA57A81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124 (87.7)</w:t>
            </w:r>
          </w:p>
        </w:tc>
        <w:tc>
          <w:tcPr>
            <w:tcW w:w="647" w:type="pct"/>
            <w:shd w:val="clear" w:color="auto" w:fill="auto"/>
            <w:hideMark/>
          </w:tcPr>
          <w:p w14:paraId="5A596F65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115 (85.5)</w:t>
            </w:r>
          </w:p>
        </w:tc>
      </w:tr>
      <w:tr w:rsidR="004A5C8C" w:rsidRPr="000B6B55" w14:paraId="74ED7624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62E1F175" w14:textId="7EDB96A8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C) School absenteeism/social withdrawal</w:t>
            </w:r>
          </w:p>
        </w:tc>
        <w:tc>
          <w:tcPr>
            <w:tcW w:w="602" w:type="pct"/>
            <w:shd w:val="clear" w:color="auto" w:fill="auto"/>
            <w:hideMark/>
          </w:tcPr>
          <w:p w14:paraId="10F90048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shd w:val="clear" w:color="auto" w:fill="auto"/>
            <w:hideMark/>
          </w:tcPr>
          <w:p w14:paraId="3B8C776A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pct"/>
            <w:shd w:val="clear" w:color="auto" w:fill="auto"/>
            <w:hideMark/>
          </w:tcPr>
          <w:p w14:paraId="16CDEC43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C8C" w:rsidRPr="000B6B55" w14:paraId="0772B949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54DA3EEF" w14:textId="492FBA5E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Percentage of students with school absenteeism in full-time high schools in Japan.</w:t>
            </w:r>
          </w:p>
        </w:tc>
        <w:tc>
          <w:tcPr>
            <w:tcW w:w="602" w:type="pct"/>
            <w:shd w:val="clear" w:color="auto" w:fill="auto"/>
            <w:hideMark/>
          </w:tcPr>
          <w:p w14:paraId="53AD3A67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92 (70.8</w:t>
            </w: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602" w:type="pct"/>
            <w:shd w:val="clear" w:color="auto" w:fill="auto"/>
            <w:hideMark/>
          </w:tcPr>
          <w:p w14:paraId="37A66A9E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125 (96.2)*</w:t>
            </w:r>
          </w:p>
        </w:tc>
        <w:tc>
          <w:tcPr>
            <w:tcW w:w="647" w:type="pct"/>
            <w:shd w:val="clear" w:color="auto" w:fill="auto"/>
            <w:hideMark/>
          </w:tcPr>
          <w:p w14:paraId="06550A24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93 (71.5)</w:t>
            </w:r>
          </w:p>
        </w:tc>
      </w:tr>
      <w:tr w:rsidR="004A5C8C" w:rsidRPr="000B6B55" w14:paraId="0F4C810F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573ACD75" w14:textId="6F03B8C4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Biopsychosocial background associated with school absenteeism.</w:t>
            </w:r>
          </w:p>
        </w:tc>
        <w:tc>
          <w:tcPr>
            <w:tcW w:w="602" w:type="pct"/>
            <w:shd w:val="clear" w:color="auto" w:fill="auto"/>
            <w:hideMark/>
          </w:tcPr>
          <w:p w14:paraId="05E8D43B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114 (87.7)</w:t>
            </w:r>
          </w:p>
        </w:tc>
        <w:tc>
          <w:tcPr>
            <w:tcW w:w="602" w:type="pct"/>
            <w:shd w:val="clear" w:color="auto" w:fill="auto"/>
            <w:hideMark/>
          </w:tcPr>
          <w:p w14:paraId="50227CED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122 (93.8)</w:t>
            </w:r>
          </w:p>
        </w:tc>
        <w:tc>
          <w:tcPr>
            <w:tcW w:w="647" w:type="pct"/>
            <w:shd w:val="clear" w:color="auto" w:fill="auto"/>
            <w:hideMark/>
          </w:tcPr>
          <w:p w14:paraId="561F715B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119 (91.5)</w:t>
            </w:r>
          </w:p>
        </w:tc>
      </w:tr>
      <w:tr w:rsidR="004A5C8C" w:rsidRPr="000B6B55" w14:paraId="7DADAFF9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04FFDD7E" w14:textId="71DA7F7F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Need to assess students with school absenteeism.</w:t>
            </w:r>
          </w:p>
        </w:tc>
        <w:tc>
          <w:tcPr>
            <w:tcW w:w="602" w:type="pct"/>
            <w:shd w:val="clear" w:color="auto" w:fill="auto"/>
            <w:hideMark/>
          </w:tcPr>
          <w:p w14:paraId="66E0D15C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100 (76.9)</w:t>
            </w:r>
          </w:p>
        </w:tc>
        <w:tc>
          <w:tcPr>
            <w:tcW w:w="602" w:type="pct"/>
            <w:shd w:val="clear" w:color="auto" w:fill="auto"/>
            <w:hideMark/>
          </w:tcPr>
          <w:p w14:paraId="59CCA52A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119 (91.5)*</w:t>
            </w:r>
          </w:p>
        </w:tc>
        <w:tc>
          <w:tcPr>
            <w:tcW w:w="647" w:type="pct"/>
            <w:shd w:val="clear" w:color="auto" w:fill="auto"/>
            <w:hideMark/>
          </w:tcPr>
          <w:p w14:paraId="1AE927EF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99 (76.2)</w:t>
            </w:r>
          </w:p>
        </w:tc>
      </w:tr>
      <w:tr w:rsidR="004A5C8C" w:rsidRPr="000B6B55" w14:paraId="061E75A8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0B44CD7C" w14:textId="665A0DF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How to support students with school absenteeism and their families.</w:t>
            </w:r>
          </w:p>
        </w:tc>
        <w:tc>
          <w:tcPr>
            <w:tcW w:w="602" w:type="pct"/>
            <w:shd w:val="clear" w:color="auto" w:fill="auto"/>
            <w:hideMark/>
          </w:tcPr>
          <w:p w14:paraId="698BC26B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122 (93.8)</w:t>
            </w:r>
          </w:p>
        </w:tc>
        <w:tc>
          <w:tcPr>
            <w:tcW w:w="602" w:type="pct"/>
            <w:shd w:val="clear" w:color="auto" w:fill="auto"/>
            <w:hideMark/>
          </w:tcPr>
          <w:p w14:paraId="31AE81CD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121 (93.1)</w:t>
            </w:r>
          </w:p>
        </w:tc>
        <w:tc>
          <w:tcPr>
            <w:tcW w:w="647" w:type="pct"/>
            <w:shd w:val="clear" w:color="auto" w:fill="auto"/>
            <w:hideMark/>
          </w:tcPr>
          <w:p w14:paraId="0EB663C7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122 (93.8)</w:t>
            </w:r>
          </w:p>
        </w:tc>
      </w:tr>
      <w:tr w:rsidR="004A5C8C" w:rsidRPr="000B6B55" w14:paraId="60294F45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59944F86" w14:textId="12C4395C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How to encourage students who have difficulty leaving their homes.</w:t>
            </w:r>
          </w:p>
        </w:tc>
        <w:tc>
          <w:tcPr>
            <w:tcW w:w="602" w:type="pct"/>
            <w:shd w:val="clear" w:color="auto" w:fill="auto"/>
            <w:hideMark/>
          </w:tcPr>
          <w:p w14:paraId="29BBA8F0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77 (59.2)</w:t>
            </w:r>
          </w:p>
        </w:tc>
        <w:tc>
          <w:tcPr>
            <w:tcW w:w="602" w:type="pct"/>
            <w:shd w:val="clear" w:color="auto" w:fill="auto"/>
            <w:hideMark/>
          </w:tcPr>
          <w:p w14:paraId="1F4CD030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78 (60.0)</w:t>
            </w:r>
          </w:p>
        </w:tc>
        <w:tc>
          <w:tcPr>
            <w:tcW w:w="647" w:type="pct"/>
            <w:shd w:val="clear" w:color="auto" w:fill="auto"/>
            <w:hideMark/>
          </w:tcPr>
          <w:p w14:paraId="60DB8279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88 (67.7)</w:t>
            </w:r>
          </w:p>
        </w:tc>
      </w:tr>
      <w:tr w:rsidR="004A5C8C" w:rsidRPr="000B6B55" w14:paraId="2B7D6F0E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2BD2F8D0" w14:textId="0CD93C8A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Counseling agency for adolescents with social withdrawal and school absenteeism.</w:t>
            </w:r>
          </w:p>
        </w:tc>
        <w:tc>
          <w:tcPr>
            <w:tcW w:w="602" w:type="pct"/>
            <w:shd w:val="clear" w:color="auto" w:fill="auto"/>
            <w:hideMark/>
          </w:tcPr>
          <w:p w14:paraId="57A008DF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111 (85.4)</w:t>
            </w:r>
          </w:p>
        </w:tc>
        <w:tc>
          <w:tcPr>
            <w:tcW w:w="602" w:type="pct"/>
            <w:shd w:val="clear" w:color="auto" w:fill="auto"/>
            <w:hideMark/>
          </w:tcPr>
          <w:p w14:paraId="31812D87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107 (82.3)</w:t>
            </w:r>
          </w:p>
        </w:tc>
        <w:tc>
          <w:tcPr>
            <w:tcW w:w="647" w:type="pct"/>
            <w:shd w:val="clear" w:color="auto" w:fill="auto"/>
            <w:hideMark/>
          </w:tcPr>
          <w:p w14:paraId="43BC57B4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116 (89.2)</w:t>
            </w:r>
          </w:p>
        </w:tc>
      </w:tr>
      <w:tr w:rsidR="004A5C8C" w:rsidRPr="000B6B55" w14:paraId="40ED35BF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061A3DB0" w14:textId="04F443DE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D) Violent behaviors among adolescents</w:t>
            </w:r>
          </w:p>
        </w:tc>
        <w:tc>
          <w:tcPr>
            <w:tcW w:w="602" w:type="pct"/>
            <w:shd w:val="clear" w:color="auto" w:fill="auto"/>
            <w:hideMark/>
          </w:tcPr>
          <w:p w14:paraId="37BD34FF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shd w:val="clear" w:color="auto" w:fill="auto"/>
            <w:hideMark/>
          </w:tcPr>
          <w:p w14:paraId="70A6ECFB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7" w:type="pct"/>
            <w:shd w:val="clear" w:color="auto" w:fill="auto"/>
            <w:hideMark/>
          </w:tcPr>
          <w:p w14:paraId="4EDE4AED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5C8C" w:rsidRPr="000B6B55" w14:paraId="22C0DAEB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6733BD72" w14:textId="024D61E4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Age group in which violent behaviors in schools are most likely to occur in Japan.</w:t>
            </w:r>
          </w:p>
        </w:tc>
        <w:tc>
          <w:tcPr>
            <w:tcW w:w="602" w:type="pct"/>
            <w:shd w:val="clear" w:color="auto" w:fill="auto"/>
            <w:hideMark/>
          </w:tcPr>
          <w:p w14:paraId="46F7AF2E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103 (79.2)</w:t>
            </w:r>
          </w:p>
        </w:tc>
        <w:tc>
          <w:tcPr>
            <w:tcW w:w="602" w:type="pct"/>
            <w:shd w:val="clear" w:color="auto" w:fill="auto"/>
            <w:hideMark/>
          </w:tcPr>
          <w:p w14:paraId="27085FB7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123 (94.6)*</w:t>
            </w:r>
          </w:p>
        </w:tc>
        <w:tc>
          <w:tcPr>
            <w:tcW w:w="647" w:type="pct"/>
            <w:shd w:val="clear" w:color="auto" w:fill="auto"/>
            <w:hideMark/>
          </w:tcPr>
          <w:p w14:paraId="074CA775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101 (77.7)</w:t>
            </w:r>
          </w:p>
        </w:tc>
      </w:tr>
      <w:tr w:rsidR="004A5C8C" w:rsidRPr="000B6B55" w14:paraId="64DEEB4F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5B9B31AD" w14:textId="3C212BA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Personality characteristics are significantly associated with violent behaviors.</w:t>
            </w:r>
          </w:p>
        </w:tc>
        <w:tc>
          <w:tcPr>
            <w:tcW w:w="602" w:type="pct"/>
            <w:shd w:val="clear" w:color="auto" w:fill="auto"/>
            <w:hideMark/>
          </w:tcPr>
          <w:p w14:paraId="6BCD9E8D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57 (43.8)</w:t>
            </w:r>
          </w:p>
        </w:tc>
        <w:tc>
          <w:tcPr>
            <w:tcW w:w="602" w:type="pct"/>
            <w:shd w:val="clear" w:color="auto" w:fill="auto"/>
            <w:hideMark/>
          </w:tcPr>
          <w:p w14:paraId="4A4865DB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83 (63.8)*</w:t>
            </w:r>
          </w:p>
        </w:tc>
        <w:tc>
          <w:tcPr>
            <w:tcW w:w="647" w:type="pct"/>
            <w:shd w:val="clear" w:color="auto" w:fill="auto"/>
            <w:hideMark/>
          </w:tcPr>
          <w:p w14:paraId="56786C48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73 (56.2)*</w:t>
            </w:r>
          </w:p>
        </w:tc>
      </w:tr>
      <w:tr w:rsidR="004A5C8C" w:rsidRPr="000B6B55" w14:paraId="1ED40F1B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56F617C7" w14:textId="5F9474B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Planning and conducting activities in a school to prevent violent behaviors among students.</w:t>
            </w:r>
          </w:p>
        </w:tc>
        <w:tc>
          <w:tcPr>
            <w:tcW w:w="602" w:type="pct"/>
            <w:shd w:val="clear" w:color="auto" w:fill="auto"/>
            <w:hideMark/>
          </w:tcPr>
          <w:p w14:paraId="39FB2494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119 (91.5)</w:t>
            </w:r>
          </w:p>
        </w:tc>
        <w:tc>
          <w:tcPr>
            <w:tcW w:w="602" w:type="pct"/>
            <w:shd w:val="clear" w:color="auto" w:fill="auto"/>
            <w:hideMark/>
          </w:tcPr>
          <w:p w14:paraId="72B72232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126 (96.9)</w:t>
            </w:r>
          </w:p>
        </w:tc>
        <w:tc>
          <w:tcPr>
            <w:tcW w:w="647" w:type="pct"/>
            <w:shd w:val="clear" w:color="auto" w:fill="auto"/>
            <w:hideMark/>
          </w:tcPr>
          <w:p w14:paraId="76A7CF99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123 (94.6)</w:t>
            </w:r>
          </w:p>
        </w:tc>
      </w:tr>
      <w:tr w:rsidR="004A5C8C" w:rsidRPr="000B6B55" w14:paraId="49CB1489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48542F49" w14:textId="27F213B1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The expected initial response of educators to violent behaviors among students.</w:t>
            </w:r>
          </w:p>
        </w:tc>
        <w:tc>
          <w:tcPr>
            <w:tcW w:w="602" w:type="pct"/>
            <w:shd w:val="clear" w:color="auto" w:fill="auto"/>
            <w:hideMark/>
          </w:tcPr>
          <w:p w14:paraId="60A6F15D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125 (96.2)</w:t>
            </w:r>
          </w:p>
        </w:tc>
        <w:tc>
          <w:tcPr>
            <w:tcW w:w="602" w:type="pct"/>
            <w:shd w:val="clear" w:color="auto" w:fill="auto"/>
            <w:hideMark/>
          </w:tcPr>
          <w:p w14:paraId="7F86618F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128 (98.5)</w:t>
            </w:r>
          </w:p>
        </w:tc>
        <w:tc>
          <w:tcPr>
            <w:tcW w:w="647" w:type="pct"/>
            <w:shd w:val="clear" w:color="auto" w:fill="auto"/>
            <w:hideMark/>
          </w:tcPr>
          <w:p w14:paraId="6159B6EA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128 (98.5)</w:t>
            </w:r>
          </w:p>
        </w:tc>
      </w:tr>
      <w:tr w:rsidR="004A5C8C" w:rsidRPr="000B6B55" w14:paraId="03A1474F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0EDFAA55" w14:textId="0EA490B3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Appropriate way to manage feelings of anger to prevent violent behavior.</w:t>
            </w:r>
          </w:p>
        </w:tc>
        <w:tc>
          <w:tcPr>
            <w:tcW w:w="602" w:type="pct"/>
            <w:shd w:val="clear" w:color="auto" w:fill="auto"/>
            <w:hideMark/>
          </w:tcPr>
          <w:p w14:paraId="35963B32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129 (99.2)</w:t>
            </w:r>
          </w:p>
        </w:tc>
        <w:tc>
          <w:tcPr>
            <w:tcW w:w="602" w:type="pct"/>
            <w:shd w:val="clear" w:color="auto" w:fill="auto"/>
            <w:hideMark/>
          </w:tcPr>
          <w:p w14:paraId="5F69CF78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129 (99.2)</w:t>
            </w:r>
          </w:p>
        </w:tc>
        <w:tc>
          <w:tcPr>
            <w:tcW w:w="647" w:type="pct"/>
            <w:shd w:val="clear" w:color="auto" w:fill="auto"/>
            <w:hideMark/>
          </w:tcPr>
          <w:p w14:paraId="7949146B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127 (97.7)</w:t>
            </w:r>
          </w:p>
        </w:tc>
      </w:tr>
      <w:tr w:rsidR="004A5C8C" w:rsidRPr="000B6B55" w14:paraId="2AB6B269" w14:textId="77777777" w:rsidTr="00A1006B">
        <w:trPr>
          <w:trHeight w:val="326"/>
        </w:trPr>
        <w:tc>
          <w:tcPr>
            <w:tcW w:w="3149" w:type="pct"/>
            <w:shd w:val="clear" w:color="auto" w:fill="auto"/>
            <w:hideMark/>
          </w:tcPr>
          <w:p w14:paraId="5D394DAE" w14:textId="5A4FD5D4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Medical treatment for patients with violent behaviors.</w:t>
            </w:r>
          </w:p>
        </w:tc>
        <w:tc>
          <w:tcPr>
            <w:tcW w:w="602" w:type="pct"/>
            <w:shd w:val="clear" w:color="auto" w:fill="auto"/>
            <w:hideMark/>
          </w:tcPr>
          <w:p w14:paraId="7A65FDF3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79 (60.8)</w:t>
            </w:r>
          </w:p>
        </w:tc>
        <w:tc>
          <w:tcPr>
            <w:tcW w:w="602" w:type="pct"/>
            <w:shd w:val="clear" w:color="auto" w:fill="auto"/>
            <w:hideMark/>
          </w:tcPr>
          <w:p w14:paraId="35CC4924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85 (65.4)</w:t>
            </w:r>
          </w:p>
        </w:tc>
        <w:tc>
          <w:tcPr>
            <w:tcW w:w="647" w:type="pct"/>
            <w:shd w:val="clear" w:color="auto" w:fill="auto"/>
            <w:hideMark/>
          </w:tcPr>
          <w:p w14:paraId="791EB946" w14:textId="77777777" w:rsidR="00C877AA" w:rsidRPr="000B6B55" w:rsidRDefault="00C877AA" w:rsidP="000B6B55">
            <w:pPr>
              <w:snapToGrid w:val="0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B6B55">
              <w:rPr>
                <w:rFonts w:ascii="Times New Roman" w:hAnsi="Times New Roman" w:cs="Times New Roman"/>
                <w:sz w:val="20"/>
                <w:szCs w:val="20"/>
              </w:rPr>
              <w:t>84 (64.6)</w:t>
            </w:r>
          </w:p>
        </w:tc>
      </w:tr>
    </w:tbl>
    <w:p w14:paraId="31AF376B" w14:textId="33F5624C" w:rsidR="00C877AA" w:rsidRPr="000B6B55" w:rsidRDefault="00C877AA" w:rsidP="000B6B55">
      <w:pPr>
        <w:tabs>
          <w:tab w:val="left" w:pos="2910"/>
        </w:tabs>
        <w:snapToGrid w:val="0"/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0B6B55">
        <w:rPr>
          <w:rFonts w:ascii="Times New Roman" w:hAnsi="Times New Roman" w:cs="Times New Roman"/>
          <w:sz w:val="20"/>
          <w:szCs w:val="20"/>
        </w:rPr>
        <w:t xml:space="preserve">* Significantly higher percentage of correct responses than given pretest, validated by McNemar’s test, </w:t>
      </w:r>
      <w:r w:rsidRPr="000B6B55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0B6B55">
        <w:rPr>
          <w:rFonts w:ascii="Times New Roman" w:hAnsi="Times New Roman" w:cs="Times New Roman"/>
          <w:sz w:val="20"/>
          <w:szCs w:val="20"/>
        </w:rPr>
        <w:t xml:space="preserve"> &lt; 0.05</w:t>
      </w:r>
    </w:p>
    <w:sectPr w:rsidR="00C877AA" w:rsidRPr="000B6B55" w:rsidSect="00C50A5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728779E8" w16cex:dateUtc="2024-03-17T03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5B84A44" w16cid:durableId="2988A7BF"/>
  <w16cid:commentId w16cid:paraId="57EAD73E" w16cid:durableId="728779E8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5E7E76" w14:textId="77777777" w:rsidR="00206DA2" w:rsidRDefault="00206DA2" w:rsidP="00C877AA">
      <w:pPr>
        <w:spacing w:after="0" w:line="240" w:lineRule="auto"/>
      </w:pPr>
      <w:r>
        <w:separator/>
      </w:r>
    </w:p>
  </w:endnote>
  <w:endnote w:type="continuationSeparator" w:id="0">
    <w:p w14:paraId="2844E2D8" w14:textId="77777777" w:rsidR="00206DA2" w:rsidRDefault="00206DA2" w:rsidP="00C877AA">
      <w:pPr>
        <w:spacing w:after="0" w:line="240" w:lineRule="auto"/>
      </w:pPr>
      <w:r>
        <w:continuationSeparator/>
      </w:r>
    </w:p>
  </w:endnote>
  <w:endnote w:type="continuationNotice" w:id="1">
    <w:p w14:paraId="466C81E4" w14:textId="77777777" w:rsidR="00206DA2" w:rsidRDefault="00206DA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Yu Gothic UI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9799110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14:paraId="57893862" w14:textId="51880193" w:rsidR="002E6E2D" w:rsidRPr="002E6E2D" w:rsidRDefault="002E6E2D">
        <w:pPr>
          <w:pStyle w:val="Footer"/>
          <w:jc w:val="right"/>
          <w:rPr>
            <w:rFonts w:ascii="Times New Roman" w:hAnsi="Times New Roman" w:cs="Times New Roman"/>
            <w:sz w:val="20"/>
            <w:szCs w:val="20"/>
          </w:rPr>
        </w:pPr>
        <w:r w:rsidRPr="002E6E2D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2E6E2D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2E6E2D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213DD7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2E6E2D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  <w:p w14:paraId="5E6DD652" w14:textId="77777777" w:rsidR="00C877AA" w:rsidRDefault="00C877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A62198" w14:textId="77777777" w:rsidR="00206DA2" w:rsidRDefault="00206DA2" w:rsidP="00C877AA">
      <w:pPr>
        <w:spacing w:after="0" w:line="240" w:lineRule="auto"/>
      </w:pPr>
      <w:r>
        <w:separator/>
      </w:r>
    </w:p>
  </w:footnote>
  <w:footnote w:type="continuationSeparator" w:id="0">
    <w:p w14:paraId="00B4252A" w14:textId="77777777" w:rsidR="00206DA2" w:rsidRDefault="00206DA2" w:rsidP="00C877AA">
      <w:pPr>
        <w:spacing w:after="0" w:line="240" w:lineRule="auto"/>
      </w:pPr>
      <w:r>
        <w:continuationSeparator/>
      </w:r>
    </w:p>
  </w:footnote>
  <w:footnote w:type="continuationNotice" w:id="1">
    <w:p w14:paraId="6BD881B5" w14:textId="77777777" w:rsidR="00206DA2" w:rsidRDefault="00206DA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DA6F2A" w14:textId="77777777" w:rsidR="00557270" w:rsidRDefault="0055727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yleGuidePreference" w:val="-1"/>
    <w:docVar w:name="UniqueDocId" w:val="07eedee3-0f99-4aa4-9b23-a349be866549"/>
  </w:docVars>
  <w:rsids>
    <w:rsidRoot w:val="0027737E"/>
    <w:rsid w:val="000B6B55"/>
    <w:rsid w:val="000C26D7"/>
    <w:rsid w:val="001B3C79"/>
    <w:rsid w:val="00206DA2"/>
    <w:rsid w:val="00213DD7"/>
    <w:rsid w:val="0027737E"/>
    <w:rsid w:val="002A6CF6"/>
    <w:rsid w:val="002D73A8"/>
    <w:rsid w:val="002E6E2D"/>
    <w:rsid w:val="003007D8"/>
    <w:rsid w:val="0039638E"/>
    <w:rsid w:val="003C19CF"/>
    <w:rsid w:val="00415108"/>
    <w:rsid w:val="004A5C8C"/>
    <w:rsid w:val="004E5C06"/>
    <w:rsid w:val="00516742"/>
    <w:rsid w:val="00557270"/>
    <w:rsid w:val="00566FCF"/>
    <w:rsid w:val="005A447D"/>
    <w:rsid w:val="005C002B"/>
    <w:rsid w:val="00781D65"/>
    <w:rsid w:val="007E7B12"/>
    <w:rsid w:val="00814233"/>
    <w:rsid w:val="00814679"/>
    <w:rsid w:val="008434EE"/>
    <w:rsid w:val="008D3DB5"/>
    <w:rsid w:val="0096290D"/>
    <w:rsid w:val="009E3515"/>
    <w:rsid w:val="00A1006B"/>
    <w:rsid w:val="00B6528C"/>
    <w:rsid w:val="00C50A59"/>
    <w:rsid w:val="00C679E7"/>
    <w:rsid w:val="00C877AA"/>
    <w:rsid w:val="00CF5C6D"/>
    <w:rsid w:val="00D546D0"/>
    <w:rsid w:val="00DA2736"/>
    <w:rsid w:val="00E77747"/>
    <w:rsid w:val="00EE1B86"/>
    <w:rsid w:val="00EF0070"/>
    <w:rsid w:val="00F06C69"/>
    <w:rsid w:val="00F303F2"/>
    <w:rsid w:val="00F527C2"/>
    <w:rsid w:val="00FC2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478E605"/>
  <w15:docId w15:val="{725DEE9A-454D-465B-A34C-3744D5986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F5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D546D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877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77AA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877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727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877A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77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77AA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877AA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877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77AA"/>
  </w:style>
  <w:style w:type="paragraph" w:styleId="Footer">
    <w:name w:val="footer"/>
    <w:basedOn w:val="Normal"/>
    <w:link w:val="FooterChar"/>
    <w:uiPriority w:val="99"/>
    <w:unhideWhenUsed/>
    <w:rsid w:val="00C877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77AA"/>
  </w:style>
  <w:style w:type="table" w:customStyle="1" w:styleId="TableGridLight1">
    <w:name w:val="Table Grid Light1"/>
    <w:basedOn w:val="TableNormal"/>
    <w:uiPriority w:val="40"/>
    <w:rsid w:val="004A5C8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97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jun1182@yokohama-cu.ac.jp" TargetMode="External"/><Relationship Id="rId2" Type="http://schemas.openxmlformats.org/officeDocument/2006/relationships/styles" Target="styles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microsoft.com/office/2018/08/relationships/commentsExtensible" Target="commentsExtensible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7F248C-B70B-403F-A4E5-F8143A3A6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700</Words>
  <Characters>3993</Characters>
  <Application>Microsoft Office Word</Application>
  <DocSecurity>0</DocSecurity>
  <Lines>33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Rimalee Pillay</cp:lastModifiedBy>
  <cp:revision>12</cp:revision>
  <dcterms:created xsi:type="dcterms:W3CDTF">2024-03-17T04:27:00Z</dcterms:created>
  <dcterms:modified xsi:type="dcterms:W3CDTF">2024-04-03T10:08:00Z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0d82648a9ce04411906c0e5d8fb0dd86</vt:lpwstr>
  </property>
  <property fmtid="{D5CDD505-2E9C-101B-9397-08002B2CF9AE}" pid="3" name="TrinkaCustomProp">
    <vt:lpwstr>3a2eb3f0e42145d5b7929d64592522af</vt:lpwstr>
  </property>
  <property fmtid="{D5CDD505-2E9C-101B-9397-08002B2CF9AE}" pid="4" name="DotEnagoUniqueKey">
    <vt:lpwstr>|051b2e545b49fba-81cd-4823-4434-a1710767830001-5950db36</vt:lpwstr>
  </property>
</Properties>
</file>