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6D9D9" w14:textId="77777777" w:rsidR="00EA6EA8" w:rsidRPr="00EC4AC5" w:rsidRDefault="00EA6EA8" w:rsidP="00EA6EA8">
      <w:pPr>
        <w:jc w:val="both"/>
        <w:rPr>
          <w:rFonts w:ascii="Arial" w:hAnsi="Arial" w:cs="Arial"/>
        </w:rPr>
      </w:pPr>
      <w:r w:rsidRPr="00EC4AC5">
        <w:rPr>
          <w:rFonts w:ascii="Arial" w:hAnsi="Arial" w:cs="Arial"/>
        </w:rPr>
        <w:t xml:space="preserve">Appendix A: Reference list for Dx feature list for  AD (from Part1) </w:t>
      </w:r>
    </w:p>
    <w:p w14:paraId="6C90425B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0D0D0D"/>
          <w:shd w:val="clear" w:color="auto" w:fill="FFFFFF"/>
        </w:rPr>
      </w:pPr>
      <w:r w:rsidRPr="00EC4AC5">
        <w:rPr>
          <w:rFonts w:ascii="Arial" w:hAnsi="Arial" w:cs="Arial"/>
        </w:rPr>
        <w:t xml:space="preserve">A1. Ability to Perform ADL (Activities of Daily Living): </w:t>
      </w:r>
      <w:r w:rsidRPr="00EC4AC5">
        <w:rPr>
          <w:rFonts w:ascii="Arial" w:hAnsi="Arial" w:cs="Arial"/>
          <w:color w:val="0D0D0D"/>
          <w:shd w:val="clear" w:color="auto" w:fill="FFFFFF"/>
        </w:rPr>
        <w:t xml:space="preserve">Sikkes, S.A.M., de Lange-de Klerk, E.S.M., Pijnenburg, Y.A.L., Scheltens, P., &amp; Uitdehaag, B.M.J. (2009). A systematic review of Instrumental Activities of Daily Living scales in dementia: Room for improvement. </w:t>
      </w:r>
      <w:r w:rsidRPr="00EC4AC5">
        <w:rPr>
          <w:rStyle w:val="Emphasis"/>
          <w:rFonts w:ascii="Arial" w:hAnsi="Arial" w:cs="Arial"/>
          <w:color w:val="0D0D0D"/>
          <w:bdr w:val="single" w:sz="2" w:space="0" w:color="E3E3E3" w:frame="1"/>
          <w:shd w:val="clear" w:color="auto" w:fill="FFFFFF"/>
        </w:rPr>
        <w:t>Journal of Neurology, Neurosurgery, &amp; Psychiatry</w:t>
      </w:r>
      <w:r w:rsidRPr="00EC4AC5">
        <w:rPr>
          <w:rFonts w:ascii="Arial" w:hAnsi="Arial" w:cs="Arial"/>
          <w:color w:val="0D0D0D"/>
          <w:shd w:val="clear" w:color="auto" w:fill="FFFFFF"/>
        </w:rPr>
        <w:t xml:space="preserve">, 80(1), 7. </w:t>
      </w:r>
    </w:p>
    <w:p w14:paraId="754E85CE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0D0D0D"/>
          <w:shd w:val="clear" w:color="auto" w:fill="FFFFFF"/>
        </w:rPr>
      </w:pPr>
      <w:r w:rsidRPr="00EC4AC5">
        <w:rPr>
          <w:rFonts w:ascii="Arial" w:hAnsi="Arial" w:cs="Arial"/>
        </w:rPr>
        <w:t xml:space="preserve">A2. Cognition: </w:t>
      </w:r>
      <w:r w:rsidRPr="00EC4AC5">
        <w:rPr>
          <w:rFonts w:ascii="Arial" w:hAnsi="Arial" w:cs="Arial"/>
          <w:color w:val="0D0D0D"/>
          <w:shd w:val="clear" w:color="auto" w:fill="FFFFFF"/>
        </w:rPr>
        <w:t xml:space="preserve">Jack, C.R., Bennett, D.A., Blennow, K., et al. (2018). NIA-AA Research Framework: Toward a biological definition of Alzheimer's disease. </w:t>
      </w:r>
      <w:r w:rsidRPr="00EC4AC5">
        <w:rPr>
          <w:rStyle w:val="Emphasis"/>
          <w:rFonts w:ascii="Arial" w:hAnsi="Arial" w:cs="Arial"/>
          <w:color w:val="0D0D0D"/>
          <w:bdr w:val="single" w:sz="2" w:space="0" w:color="E3E3E3" w:frame="1"/>
          <w:shd w:val="clear" w:color="auto" w:fill="FFFFFF"/>
        </w:rPr>
        <w:t>Alzheimer's &amp; Dementia</w:t>
      </w:r>
      <w:r w:rsidRPr="00EC4AC5">
        <w:rPr>
          <w:rFonts w:ascii="Arial" w:hAnsi="Arial" w:cs="Arial"/>
          <w:color w:val="0D0D0D"/>
          <w:shd w:val="clear" w:color="auto" w:fill="FFFFFF"/>
        </w:rPr>
        <w:t>, 14(4), 535-562.</w:t>
      </w:r>
    </w:p>
    <w:p w14:paraId="60702DA4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</w:rPr>
      </w:pPr>
      <w:r w:rsidRPr="00EC4AC5">
        <w:rPr>
          <w:rFonts w:ascii="Arial" w:hAnsi="Arial" w:cs="Arial"/>
        </w:rPr>
        <w:t xml:space="preserve">A3. Dementia: </w:t>
      </w:r>
      <w:r w:rsidRPr="00EC4AC5">
        <w:rPr>
          <w:rFonts w:ascii="Arial" w:hAnsi="Arial" w:cs="Arial"/>
          <w:color w:val="0D0D0D"/>
          <w:shd w:val="clear" w:color="auto" w:fill="FFFFFF"/>
        </w:rPr>
        <w:t xml:space="preserve">McKhann, G.M., Knopman, D.S., Chertkow, H., et al. (2011). The diagnosis of dementia due to Alzheimer's disease: Recommendations from the National Institute on Aging-Alzheimer's Association workgroups on diagnostic guidelines for Alzheimer's disease. </w:t>
      </w:r>
      <w:r w:rsidRPr="00EC4AC5">
        <w:rPr>
          <w:rStyle w:val="Emphasis"/>
          <w:rFonts w:ascii="Arial" w:hAnsi="Arial" w:cs="Arial"/>
          <w:color w:val="0D0D0D"/>
          <w:bdr w:val="single" w:sz="2" w:space="0" w:color="E3E3E3" w:frame="1"/>
          <w:shd w:val="clear" w:color="auto" w:fill="FFFFFF"/>
        </w:rPr>
        <w:t>Alzheimer's &amp; Dementia</w:t>
      </w:r>
      <w:r w:rsidRPr="00EC4AC5">
        <w:rPr>
          <w:rFonts w:ascii="Arial" w:hAnsi="Arial" w:cs="Arial"/>
          <w:color w:val="0D0D0D"/>
          <w:shd w:val="clear" w:color="auto" w:fill="FFFFFF"/>
        </w:rPr>
        <w:t>, 7(3), 263-269.</w:t>
      </w:r>
    </w:p>
    <w:p w14:paraId="4A93C585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</w:rPr>
      </w:pPr>
      <w:r w:rsidRPr="00EC4AC5">
        <w:rPr>
          <w:rFonts w:ascii="Arial" w:hAnsi="Arial" w:cs="Arial"/>
        </w:rPr>
        <w:t>A4. Learning: Selkoe, D.J. (2002). "Alzheimer’s Disease is a synaptic failure." Science.</w:t>
      </w:r>
    </w:p>
    <w:p w14:paraId="220D4A19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</w:rPr>
        <w:t xml:space="preserve">A5. Anxiety: </w:t>
      </w:r>
      <w:r w:rsidRPr="00EC4AC5">
        <w:rPr>
          <w:rFonts w:ascii="Arial" w:hAnsi="Arial" w:cs="Arial"/>
          <w:color w:val="212121"/>
          <w:shd w:val="clear" w:color="auto" w:fill="FFFFFF"/>
        </w:rPr>
        <w:t>Gulpers B, Ramakers I, Hamel R, Köhler S, Oude Voshaar R, Verhey F. Anxiety as a Predictor for Cognitive Decline and Dementia: A Systematic Review and Meta-Analysis. Am J Geriatr Psychiatry. 2016 Oct;24(10):823-42. doi: 10.1016/j.jagp.2016.05.015.</w:t>
      </w:r>
    </w:p>
    <w:p w14:paraId="72E05F32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</w:rPr>
      </w:pPr>
      <w:r w:rsidRPr="00EC4AC5">
        <w:rPr>
          <w:rFonts w:ascii="Arial" w:hAnsi="Arial" w:cs="Arial"/>
        </w:rPr>
        <w:t xml:space="preserve">A6. Major Depression: </w:t>
      </w:r>
      <w:r w:rsidRPr="00EC4AC5">
        <w:rPr>
          <w:rFonts w:ascii="Arial" w:hAnsi="Arial" w:cs="Arial"/>
          <w:color w:val="212121"/>
          <w:shd w:val="clear" w:color="auto" w:fill="FFFFFF"/>
        </w:rPr>
        <w:t>Diniz BS, Butters MA, Albert SM, Dew MA, Reynolds CF 3rd. Late-life depression and risk of vascular dementia and Alzheimer's disease: systematic review and meta-analysis of community-based cohort studies. Br J Psychiatry. 2013 May;202(5):329-35. doi: 10.1192/bjp.bp.112.118307. </w:t>
      </w:r>
    </w:p>
    <w:p w14:paraId="24B0F142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</w:rPr>
      </w:pPr>
      <w:r w:rsidRPr="00EC4AC5">
        <w:rPr>
          <w:rFonts w:ascii="Arial" w:hAnsi="Arial" w:cs="Arial"/>
        </w:rPr>
        <w:t xml:space="preserve">A7. A1-B (non-atherogenic): </w:t>
      </w:r>
      <w:r w:rsidRPr="00EC4AC5">
        <w:rPr>
          <w:rFonts w:ascii="Arial" w:hAnsi="Arial" w:cs="Arial"/>
          <w:color w:val="212121"/>
          <w:shd w:val="clear" w:color="auto" w:fill="FFFFFF"/>
        </w:rPr>
        <w:t>Mahley RW, Weisgraber KH, Huang Y. Apolipoprotein E4: a causative factor and therapeutic target in neuropathology, including Alzheimer's disease. Proc Natl Acad Sci U S A. 2006 Apr 11;103(15):5644-51. doi: 10.1073/pnas.0600549103.</w:t>
      </w:r>
    </w:p>
    <w:p w14:paraId="332440A0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</w:rPr>
      </w:pPr>
      <w:r w:rsidRPr="00EC4AC5">
        <w:rPr>
          <w:rFonts w:ascii="Arial" w:hAnsi="Arial" w:cs="Arial"/>
        </w:rPr>
        <w:t xml:space="preserve">A8. A-B1 Plaques: </w:t>
      </w:r>
      <w:r w:rsidRPr="00EC4AC5">
        <w:rPr>
          <w:rFonts w:ascii="Arial" w:hAnsi="Arial" w:cs="Arial"/>
          <w:color w:val="212121"/>
          <w:shd w:val="clear" w:color="auto" w:fill="FFFFFF"/>
        </w:rPr>
        <w:t>Hardy J, Selkoe DJ. The amyloid hypothesis of Alzheimer's disease: progress and problems on the road to therapeutics. Science. 2002 Jul 19;297(5580):353-6. doi: 10.1126/science.1072994. Erratum in: Science 2002 Sep 27;297(5590):2209</w:t>
      </w:r>
    </w:p>
    <w:p w14:paraId="10D01730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</w:rPr>
      </w:pPr>
      <w:r w:rsidRPr="00EC4AC5">
        <w:rPr>
          <w:rFonts w:ascii="Arial" w:hAnsi="Arial" w:cs="Arial"/>
        </w:rPr>
        <w:t xml:space="preserve">A9. A-B1 (42/40) Clearance: Mawuenyega, K.G., Sigurdson, W., Ovod, V., et al. (2010). "Decreased clearance of CNS β-amyloid in Alzheimer’s disease." Science </w:t>
      </w:r>
      <w:hyperlink r:id="rId4" w:tooltip="Vol. 330, No. 6012" w:history="1">
        <w:r w:rsidRPr="00EC4AC5">
          <w:rPr>
            <w:rStyle w:val="Hyperlink"/>
            <w:rFonts w:ascii="Arial" w:hAnsi="Arial" w:cs="Arial"/>
            <w:color w:val="757575"/>
            <w:spacing w:val="5"/>
            <w:shd w:val="clear" w:color="auto" w:fill="FFFFFF"/>
          </w:rPr>
          <w:t>vol. 330, no. 6012</w:t>
        </w:r>
      </w:hyperlink>
    </w:p>
    <w:p w14:paraId="1A1656D8" w14:textId="77777777" w:rsidR="00EA6EA8" w:rsidRPr="00EC4AC5" w:rsidRDefault="00EA6EA8" w:rsidP="00EA6EA8">
      <w:pPr>
        <w:shd w:val="clear" w:color="auto" w:fill="FFFFFF"/>
        <w:spacing w:line="240" w:lineRule="auto"/>
        <w:jc w:val="both"/>
        <w:rPr>
          <w:rFonts w:ascii="Arial" w:hAnsi="Arial" w:cs="Arial"/>
          <w:color w:val="4D4D4D"/>
          <w:spacing w:val="5"/>
        </w:rPr>
      </w:pPr>
      <w:r w:rsidRPr="00EC4AC5">
        <w:rPr>
          <w:rFonts w:ascii="Arial" w:hAnsi="Arial" w:cs="Arial"/>
        </w:rPr>
        <w:t xml:space="preserve">A10. A-B1 (42/40) Protein: Bateman, R.J., Xiong, C., Benzinger, T.L.S., et al. (2012). "Clinical and biomarker changes in dominantly inherited Alzheimer’s disease." </w:t>
      </w:r>
      <w:r w:rsidRPr="00EC4AC5">
        <w:rPr>
          <w:rFonts w:ascii="Arial" w:hAnsi="Arial" w:cs="Arial"/>
          <w:color w:val="4D4D4D"/>
          <w:spacing w:val="5"/>
        </w:rPr>
        <w:t xml:space="preserve">N Engl J Med 2012; </w:t>
      </w:r>
      <w:hyperlink r:id="rId5" w:history="1">
        <w:r w:rsidRPr="00EC4AC5">
          <w:rPr>
            <w:rStyle w:val="Hyperlink"/>
            <w:rFonts w:ascii="Arial" w:hAnsi="Arial" w:cs="Arial"/>
            <w:color w:val="1A1A1A"/>
            <w:spacing w:val="5"/>
          </w:rPr>
          <w:t>vol. 367 no. 9</w:t>
        </w:r>
      </w:hyperlink>
      <w:r w:rsidRPr="00EC4AC5">
        <w:rPr>
          <w:rFonts w:ascii="Arial" w:hAnsi="Arial" w:cs="Arial"/>
          <w:color w:val="4D4D4D"/>
          <w:spacing w:val="5"/>
        </w:rPr>
        <w:t xml:space="preserve">:795-804 DOI: 10.1056/NEJMoa1202753 </w:t>
      </w:r>
    </w:p>
    <w:p w14:paraId="660E5E1B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</w:rPr>
      </w:pPr>
      <w:r w:rsidRPr="00EC4AC5">
        <w:rPr>
          <w:rFonts w:ascii="Arial" w:hAnsi="Arial" w:cs="Arial"/>
        </w:rPr>
        <w:t xml:space="preserve">A11. A-B1 Oligomers: Klein, W.L., Krafft, G.A., &amp; Finch, C.E. (2001). "Targeting small Aβ oligomers: The solution to an Alzheimer’s disease conundrum?" Trends in Neurosciences. </w:t>
      </w:r>
      <w:hyperlink r:id="rId6" w:tooltip="Go to table of contents for this volume/issue" w:history="1">
        <w:r w:rsidRPr="00EC4AC5">
          <w:rPr>
            <w:rStyle w:val="anchor-text"/>
            <w:rFonts w:ascii="Arial" w:hAnsi="Arial" w:cs="Arial"/>
          </w:rPr>
          <w:t>Volume 24, Issue 4</w:t>
        </w:r>
      </w:hyperlink>
      <w:r w:rsidRPr="00EC4AC5">
        <w:rPr>
          <w:rFonts w:ascii="Arial" w:hAnsi="Arial" w:cs="Arial"/>
        </w:rPr>
        <w:t>, 1 April 2001, Pages 219-224</w:t>
      </w:r>
    </w:p>
    <w:p w14:paraId="503D1025" w14:textId="77777777" w:rsidR="00EA6EA8" w:rsidRPr="00EC4AC5" w:rsidRDefault="00EA6EA8" w:rsidP="00EA6EA8">
      <w:pPr>
        <w:shd w:val="clear" w:color="auto" w:fill="FFFFFF"/>
        <w:spacing w:line="240" w:lineRule="auto"/>
        <w:jc w:val="both"/>
        <w:rPr>
          <w:rFonts w:ascii="Arial" w:hAnsi="Arial" w:cs="Arial"/>
          <w:color w:val="757575"/>
        </w:rPr>
      </w:pPr>
      <w:r w:rsidRPr="00EC4AC5">
        <w:rPr>
          <w:rFonts w:ascii="Arial" w:hAnsi="Arial" w:cs="Arial"/>
        </w:rPr>
        <w:t xml:space="preserve">A12. Tau Protein Aggregation: Götz, J., Chen, F., van Dorpe, J., &amp; Nitsch, R.M. (2001). "Formation of neurofibrillary tangles in P301l tau transgenic mice induced by Aβ42 fibrils." Science. </w:t>
      </w:r>
      <w:r w:rsidRPr="00EC4AC5">
        <w:rPr>
          <w:rFonts w:ascii="Arial" w:hAnsi="Arial" w:cs="Arial"/>
          <w:color w:val="757575"/>
        </w:rPr>
        <w:t>24 Aug 2001 Vol 293</w:t>
      </w:r>
      <w:r w:rsidRPr="00EC4AC5">
        <w:rPr>
          <w:rStyle w:val="delimiter"/>
          <w:rFonts w:ascii="Arial" w:hAnsi="Arial" w:cs="Arial"/>
          <w:color w:val="757575"/>
        </w:rPr>
        <w:t>, </w:t>
      </w:r>
      <w:r w:rsidRPr="00EC4AC5">
        <w:rPr>
          <w:rFonts w:ascii="Arial" w:hAnsi="Arial" w:cs="Arial"/>
          <w:color w:val="757575"/>
        </w:rPr>
        <w:t xml:space="preserve">Issue 5534 pp. 1491-1495 </w:t>
      </w:r>
      <w:hyperlink r:id="rId7" w:history="1">
        <w:r w:rsidRPr="00EC4AC5">
          <w:rPr>
            <w:rStyle w:val="Hyperlink"/>
            <w:rFonts w:ascii="Arial" w:hAnsi="Arial" w:cs="Arial"/>
            <w:color w:val="595959"/>
          </w:rPr>
          <w:t>DOI: 10.1126/science.1062097</w:t>
        </w:r>
      </w:hyperlink>
    </w:p>
    <w:p w14:paraId="51A12937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</w:rPr>
      </w:pPr>
      <w:r w:rsidRPr="00EC4AC5">
        <w:rPr>
          <w:rFonts w:ascii="Arial" w:hAnsi="Arial" w:cs="Arial"/>
        </w:rPr>
        <w:t xml:space="preserve">A13. Tau Protein-P (Phosphorylated Tau): </w:t>
      </w:r>
      <w:r w:rsidRPr="00EC4AC5">
        <w:rPr>
          <w:rFonts w:ascii="Arial" w:hAnsi="Arial" w:cs="Arial"/>
          <w:color w:val="212121"/>
          <w:shd w:val="clear" w:color="auto" w:fill="FFFFFF"/>
        </w:rPr>
        <w:t>Iqbal K, Liu F, Gong CX. Tau and neurodegenerative disease: the story so far. Nat Rev Neurol. 2016 Jan;12(1):15-27. doi: 10.1038/nrneurol.2015.225.</w:t>
      </w:r>
    </w:p>
    <w:p w14:paraId="2EB711A7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</w:rPr>
        <w:t xml:space="preserve">A14. Tau Protein/MAPT (Microtubule-Associated Protein Tau): </w:t>
      </w:r>
      <w:r w:rsidRPr="00EC4AC5">
        <w:rPr>
          <w:rFonts w:ascii="Arial" w:hAnsi="Arial" w:cs="Arial"/>
          <w:color w:val="212121"/>
          <w:shd w:val="clear" w:color="auto" w:fill="FFFFFF"/>
        </w:rPr>
        <w:t>Lee VM, Goedert M, Trojanowski JQ. Neurodegenerative tauopathies. Annu Rev Neurosci. 2001;24:1121-59. doi: 10.1146/annurev.neuro.24.1.1121.</w:t>
      </w:r>
    </w:p>
    <w:p w14:paraId="402CF202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</w:rPr>
        <w:lastRenderedPageBreak/>
        <w:t xml:space="preserve">A15. Neuroinflammation: </w:t>
      </w:r>
      <w:r w:rsidRPr="00EC4AC5">
        <w:rPr>
          <w:rFonts w:ascii="Arial" w:hAnsi="Arial" w:cs="Arial"/>
          <w:color w:val="212121"/>
          <w:shd w:val="clear" w:color="auto" w:fill="FFFFFF"/>
        </w:rPr>
        <w:t>Heneka MT, Carson MJ, El Khoury J, et al. Neuroinflammation in Alzheimer's disease. Lancet Neurol. 2015 Apr;14(4):388-405. doi: 10.1016/S1474-4422(15)70016-5.</w:t>
      </w:r>
    </w:p>
    <w:p w14:paraId="174D155D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</w:rPr>
        <w:t xml:space="preserve">A16. Neuronal Oxidative Stress: </w:t>
      </w:r>
      <w:r w:rsidRPr="00EC4AC5">
        <w:rPr>
          <w:rFonts w:ascii="Arial" w:hAnsi="Arial" w:cs="Arial"/>
          <w:color w:val="212121"/>
          <w:shd w:val="clear" w:color="auto" w:fill="FFFFFF"/>
        </w:rPr>
        <w:t>Butterfield DA, Halliwell B. Oxidative stress, dysfunctional glucose metabolism and Alzheimer disease. Nat Rev Neurosci. 2019 Mar;20(3):148-160. doi: 10.1038/s41583-019-0132-6.</w:t>
      </w:r>
    </w:p>
    <w:p w14:paraId="03395413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</w:rPr>
        <w:t xml:space="preserve">A17. PGRN (Progranulin): </w:t>
      </w:r>
      <w:r w:rsidRPr="00EC4AC5">
        <w:rPr>
          <w:rFonts w:ascii="Arial" w:hAnsi="Arial" w:cs="Arial"/>
          <w:color w:val="212121"/>
          <w:shd w:val="clear" w:color="auto" w:fill="FFFFFF"/>
        </w:rPr>
        <w:t>Finch N, Baker M, Crook R, et al. Plasma progranulin levels predict progranulin mutation status in frontotemporal dementia patients and asymptomatic family members. Brain. 2009 Mar;132(Pt 3):583-91. doi: 10.1093/brain/awn352.</w:t>
      </w:r>
    </w:p>
    <w:p w14:paraId="495B14B9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</w:rPr>
        <w:t xml:space="preserve">A18. PGRN-Brain: </w:t>
      </w:r>
      <w:r w:rsidRPr="00EC4AC5">
        <w:rPr>
          <w:rFonts w:ascii="Arial" w:hAnsi="Arial" w:cs="Arial"/>
          <w:color w:val="212121"/>
          <w:shd w:val="clear" w:color="auto" w:fill="FFFFFF"/>
        </w:rPr>
        <w:t>Karamysheva ZN, Tikhonova EB, Karamyshev AL. Granulin in Frontotemporal Lobar Degeneration: Molecular Mechanisms of the Disease. Front Neurosci. 2019 Apr 25;13:395. doi: 10.3389/fnins.2019.00395.</w:t>
      </w:r>
    </w:p>
    <w:p w14:paraId="4636E369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</w:rPr>
        <w:t xml:space="preserve">A19. Brain Atrophy: </w:t>
      </w:r>
      <w:r w:rsidRPr="00EC4AC5">
        <w:rPr>
          <w:rFonts w:ascii="Arial" w:hAnsi="Arial" w:cs="Arial"/>
          <w:color w:val="212121"/>
          <w:shd w:val="clear" w:color="auto" w:fill="FFFFFF"/>
        </w:rPr>
        <w:t>Fox NC, Schott JM. Imaging cerebral atrophy: normal ageing to Alzheimer's disease. Lancet. 2004 Jan 31;363(9406):392-4. doi: 10.1016/S0140-6736(04)15441-X</w:t>
      </w:r>
    </w:p>
    <w:p w14:paraId="42BF1AB2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</w:rPr>
        <w:t xml:space="preserve">A20. Normal Motor Function: </w:t>
      </w:r>
      <w:r w:rsidRPr="00EC4AC5">
        <w:rPr>
          <w:rFonts w:ascii="Arial" w:hAnsi="Arial" w:cs="Arial"/>
          <w:color w:val="212121"/>
          <w:shd w:val="clear" w:color="auto" w:fill="FFFFFF"/>
        </w:rPr>
        <w:t>Aggarwal NT, Wilson RS, Beck TL, Bienias JL, Bennett DA. Motor dysfunction in mild cognitive impairment and the risk of incident Alzheimer disease. Arch Neurol. 2006 Dec;63(12):1763-9. doi: 10.1001/archneur.63.12.1763.</w:t>
      </w:r>
    </w:p>
    <w:p w14:paraId="386FF98E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  <w:r w:rsidRPr="00EC4AC5">
        <w:rPr>
          <w:rFonts w:ascii="Arial" w:hAnsi="Arial" w:cs="Arial"/>
        </w:rPr>
        <w:t xml:space="preserve">A21. Neurofilament-Light: </w:t>
      </w:r>
      <w:r w:rsidRPr="00EC4AC5">
        <w:rPr>
          <w:rFonts w:ascii="Arial" w:hAnsi="Arial" w:cs="Arial"/>
          <w:color w:val="333333"/>
          <w:shd w:val="clear" w:color="auto" w:fill="FFFFFF"/>
        </w:rPr>
        <w:t>Zetterberg, H., Wilson, D., Andreasson, U. </w:t>
      </w:r>
      <w:r w:rsidRPr="00EC4AC5">
        <w:rPr>
          <w:rFonts w:ascii="Arial" w:hAnsi="Arial" w:cs="Arial"/>
          <w:i/>
          <w:iCs/>
          <w:color w:val="333333"/>
          <w:shd w:val="clear" w:color="auto" w:fill="FFFFFF"/>
        </w:rPr>
        <w:t>et al.</w:t>
      </w:r>
      <w:r w:rsidRPr="00EC4AC5">
        <w:rPr>
          <w:rFonts w:ascii="Arial" w:hAnsi="Arial" w:cs="Arial"/>
          <w:color w:val="333333"/>
          <w:shd w:val="clear" w:color="auto" w:fill="FFFFFF"/>
        </w:rPr>
        <w:t> Plasma tau levels in Alzheimer's disease. </w:t>
      </w:r>
      <w:r w:rsidRPr="00EC4AC5">
        <w:rPr>
          <w:rFonts w:ascii="Arial" w:hAnsi="Arial" w:cs="Arial"/>
          <w:i/>
          <w:iCs/>
          <w:color w:val="333333"/>
          <w:shd w:val="clear" w:color="auto" w:fill="FFFFFF"/>
        </w:rPr>
        <w:t>Alz Res Therapy</w:t>
      </w:r>
      <w:r w:rsidRPr="00EC4AC5">
        <w:rPr>
          <w:rFonts w:ascii="Arial" w:hAnsi="Arial" w:cs="Arial"/>
          <w:color w:val="333333"/>
          <w:shd w:val="clear" w:color="auto" w:fill="FFFFFF"/>
        </w:rPr>
        <w:t> </w:t>
      </w:r>
      <w:r w:rsidRPr="00EC4AC5">
        <w:rPr>
          <w:rFonts w:ascii="Arial" w:hAnsi="Arial" w:cs="Arial"/>
          <w:b/>
          <w:bCs/>
          <w:color w:val="333333"/>
          <w:shd w:val="clear" w:color="auto" w:fill="FFFFFF"/>
        </w:rPr>
        <w:t>5</w:t>
      </w:r>
      <w:r w:rsidRPr="00EC4AC5">
        <w:rPr>
          <w:rFonts w:ascii="Arial" w:hAnsi="Arial" w:cs="Arial"/>
          <w:color w:val="333333"/>
          <w:shd w:val="clear" w:color="auto" w:fill="FFFFFF"/>
        </w:rPr>
        <w:t xml:space="preserve">, 9 (2013). </w:t>
      </w:r>
      <w:hyperlink r:id="rId8" w:history="1">
        <w:r w:rsidRPr="00EC4AC5">
          <w:rPr>
            <w:rStyle w:val="Hyperlink"/>
            <w:rFonts w:ascii="Arial" w:hAnsi="Arial" w:cs="Arial"/>
            <w:shd w:val="clear" w:color="auto" w:fill="FFFFFF"/>
          </w:rPr>
          <w:t>https://doi.org/10.1186/alzrt163</w:t>
        </w:r>
      </w:hyperlink>
    </w:p>
    <w:p w14:paraId="3AC57CBA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</w:rPr>
        <w:t xml:space="preserve">A22. QofL-Physical, QofL-Psychological: </w:t>
      </w:r>
      <w:r w:rsidRPr="00EC4AC5">
        <w:rPr>
          <w:rFonts w:ascii="Arial" w:hAnsi="Arial" w:cs="Arial"/>
          <w:color w:val="212121"/>
          <w:shd w:val="clear" w:color="auto" w:fill="FFFFFF"/>
        </w:rPr>
        <w:t>Logsdon RG, Gibbons LE, McCurry SM, Teri L. Assessing quality of life in older adults with cognitive impairment. Psychosom Med. 2002 May-Jun;64(3):510-9. doi: 10.1097/00006842-200205000-00016.</w:t>
      </w:r>
    </w:p>
    <w:p w14:paraId="454EB1A1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</w:rPr>
        <w:t xml:space="preserve">A23. Abnormal Behavior: </w:t>
      </w:r>
      <w:r w:rsidRPr="00EC4AC5">
        <w:rPr>
          <w:rFonts w:ascii="Arial" w:hAnsi="Arial" w:cs="Arial"/>
          <w:color w:val="212121"/>
          <w:shd w:val="clear" w:color="auto" w:fill="FFFFFF"/>
        </w:rPr>
        <w:t>Steinberg M, Shao H, Zandi P, et al; Cache County Investigators. Point and 5-year period prevalence of neuropsychiatric symptoms in dementia: the Cache County Study. Int J Geriatr Psychiatry. 2008 Feb;23(2):170-7. doi: 10.1002/gps.1858.</w:t>
      </w:r>
    </w:p>
    <w:p w14:paraId="770140F5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</w:rPr>
      </w:pPr>
      <w:r w:rsidRPr="00EC4AC5">
        <w:rPr>
          <w:rFonts w:ascii="Arial" w:hAnsi="Arial" w:cs="Arial"/>
        </w:rPr>
        <w:t xml:space="preserve">A24. Sleep Disturbance: </w:t>
      </w:r>
      <w:r w:rsidRPr="00EC4AC5">
        <w:rPr>
          <w:rFonts w:ascii="Arial" w:hAnsi="Arial" w:cs="Arial"/>
          <w:color w:val="212121"/>
          <w:shd w:val="clear" w:color="auto" w:fill="FFFFFF"/>
        </w:rPr>
        <w:t>Ju YE, Lucey BP, Holtzman DM. Sleep and Alzheimer disease pathology--a bidirectional relationship. Nat Rev Neurol. 2014 Feb;10(2):115-9. doi: 10.1038/nrneurol.2013.269.</w:t>
      </w:r>
    </w:p>
    <w:p w14:paraId="0625DE2F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  <w:r w:rsidRPr="00EC4AC5">
        <w:rPr>
          <w:rFonts w:ascii="Arial" w:hAnsi="Arial" w:cs="Arial"/>
        </w:rPr>
        <w:t xml:space="preserve">A25. Social Behavior: </w:t>
      </w:r>
      <w:r w:rsidRPr="00EC4AC5">
        <w:rPr>
          <w:rFonts w:ascii="Arial" w:hAnsi="Arial" w:cs="Arial"/>
          <w:color w:val="333333"/>
          <w:shd w:val="clear" w:color="auto" w:fill="FFFFFF"/>
        </w:rPr>
        <w:t>Cummings, J. L., Mega, M., Gray, K., Rosenberg-Thompson, S., Carusi, D. A., &amp; Gornbein, J. (1994). The Neuropsychiatric Inventory: Comprehensive assessment of psychopathology in dementia. </w:t>
      </w:r>
      <w:r w:rsidRPr="00EC4AC5">
        <w:rPr>
          <w:rStyle w:val="Emphasis"/>
          <w:rFonts w:ascii="Arial" w:hAnsi="Arial" w:cs="Arial"/>
          <w:color w:val="333333"/>
          <w:shd w:val="clear" w:color="auto" w:fill="FFFFFF"/>
        </w:rPr>
        <w:t>Neurology, 44</w:t>
      </w:r>
      <w:r w:rsidRPr="00EC4AC5">
        <w:rPr>
          <w:rFonts w:ascii="Arial" w:hAnsi="Arial" w:cs="Arial"/>
          <w:color w:val="333333"/>
          <w:shd w:val="clear" w:color="auto" w:fill="FFFFFF"/>
        </w:rPr>
        <w:t>(12), 2308–2314.</w:t>
      </w:r>
    </w:p>
    <w:p w14:paraId="75C96931" w14:textId="77777777" w:rsidR="00EA6EA8" w:rsidRPr="00EC4AC5" w:rsidRDefault="00EA6EA8" w:rsidP="00EA6EA8">
      <w:pPr>
        <w:shd w:val="clear" w:color="auto" w:fill="FFFFFF"/>
        <w:spacing w:line="240" w:lineRule="auto"/>
        <w:jc w:val="both"/>
        <w:rPr>
          <w:rFonts w:ascii="Arial" w:hAnsi="Arial" w:cs="Arial"/>
          <w:color w:val="4D4D4D"/>
          <w:spacing w:val="5"/>
        </w:rPr>
      </w:pPr>
      <w:r w:rsidRPr="00EC4AC5">
        <w:rPr>
          <w:rFonts w:ascii="Arial" w:hAnsi="Arial" w:cs="Arial"/>
        </w:rPr>
        <w:t xml:space="preserve">A26. Speech and Language: Mesulam, M.-M. (2003). "Primary progressive aphasia—A language-based dementia." New England Journal of Medicine. </w:t>
      </w:r>
      <w:r w:rsidRPr="00EC4AC5">
        <w:rPr>
          <w:rFonts w:ascii="Arial" w:hAnsi="Arial" w:cs="Arial"/>
          <w:b/>
          <w:bCs/>
          <w:color w:val="4D4D4D"/>
          <w:spacing w:val="5"/>
        </w:rPr>
        <w:t>October 16,</w:t>
      </w:r>
      <w:r w:rsidRPr="00EC4AC5">
        <w:rPr>
          <w:rFonts w:ascii="Arial" w:hAnsi="Arial" w:cs="Arial"/>
          <w:color w:val="4D4D4D"/>
          <w:spacing w:val="5"/>
        </w:rPr>
        <w:t xml:space="preserve"> </w:t>
      </w:r>
      <w:hyperlink r:id="rId9" w:history="1">
        <w:r w:rsidRPr="00EC4AC5">
          <w:rPr>
            <w:rStyle w:val="Hyperlink"/>
            <w:rFonts w:ascii="Arial" w:hAnsi="Arial" w:cs="Arial"/>
            <w:color w:val="1A1A1A"/>
            <w:spacing w:val="5"/>
          </w:rPr>
          <w:t>vol. 349 no. 16</w:t>
        </w:r>
      </w:hyperlink>
      <w:r w:rsidRPr="00EC4AC5">
        <w:rPr>
          <w:rFonts w:ascii="Arial" w:hAnsi="Arial" w:cs="Arial"/>
          <w:b/>
          <w:bCs/>
          <w:color w:val="4D4D4D"/>
          <w:spacing w:val="5"/>
        </w:rPr>
        <w:t xml:space="preserve"> </w:t>
      </w:r>
      <w:r w:rsidRPr="00EC4AC5">
        <w:rPr>
          <w:rFonts w:ascii="Arial" w:hAnsi="Arial" w:cs="Arial"/>
          <w:color w:val="4D4D4D"/>
          <w:spacing w:val="5"/>
        </w:rPr>
        <w:t>DOI: 10.1056/NEJMra022435</w:t>
      </w:r>
    </w:p>
    <w:p w14:paraId="4AD57EE0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</w:rPr>
      </w:pPr>
      <w:r w:rsidRPr="00EC4AC5">
        <w:rPr>
          <w:rFonts w:ascii="Arial" w:hAnsi="Arial" w:cs="Arial"/>
        </w:rPr>
        <w:t xml:space="preserve">A27. Diagnosis of AD: (a) Albert, M.S., DeKosky, S.T., Dickson, D., et al. (2011). "The diagnosis of mild cognitive impairment due to Alzheimer’s disease: Recommendations from the National Institute on Aging-Alzheimer’s Association workgroups on diagnostic guidelines for Alzheimer's disease." Alzheimer's &amp; Dementia. </w:t>
      </w:r>
      <w:r w:rsidRPr="00EC4AC5">
        <w:rPr>
          <w:rFonts w:ascii="Arial" w:hAnsi="Arial" w:cs="Arial"/>
          <w:color w:val="000000"/>
          <w:shd w:val="clear" w:color="auto" w:fill="FFFFFF"/>
        </w:rPr>
        <w:t xml:space="preserve">2011;7(3):270–279), (b) </w:t>
      </w:r>
      <w:r w:rsidRPr="00EC4AC5">
        <w:rPr>
          <w:rFonts w:ascii="Arial" w:hAnsi="Arial" w:cs="Arial"/>
          <w:color w:val="222222"/>
          <w:shd w:val="clear" w:color="auto" w:fill="FFFFFF"/>
        </w:rPr>
        <w:t>Porsteinsson, A.P., Isaacson, R.S., Knox, S. </w:t>
      </w:r>
      <w:r w:rsidRPr="00EC4AC5">
        <w:rPr>
          <w:rFonts w:ascii="Arial" w:hAnsi="Arial" w:cs="Arial"/>
          <w:i/>
          <w:iCs/>
          <w:color w:val="222222"/>
          <w:shd w:val="clear" w:color="auto" w:fill="FFFFFF"/>
        </w:rPr>
        <w:t>et al.</w:t>
      </w:r>
      <w:r w:rsidRPr="00EC4AC5">
        <w:rPr>
          <w:rFonts w:ascii="Arial" w:hAnsi="Arial" w:cs="Arial"/>
          <w:color w:val="222222"/>
          <w:shd w:val="clear" w:color="auto" w:fill="FFFFFF"/>
        </w:rPr>
        <w:t> Diagnosis of Early Alzheimer’s Disease: Clinical Practice in 2021. </w:t>
      </w:r>
      <w:r w:rsidRPr="00EC4AC5">
        <w:rPr>
          <w:rFonts w:ascii="Arial" w:hAnsi="Arial" w:cs="Arial"/>
          <w:i/>
          <w:iCs/>
          <w:color w:val="222222"/>
          <w:shd w:val="clear" w:color="auto" w:fill="FFFFFF"/>
        </w:rPr>
        <w:t>J Prev Alzheimers Dis</w:t>
      </w:r>
      <w:r w:rsidRPr="00EC4AC5">
        <w:rPr>
          <w:rFonts w:ascii="Arial" w:hAnsi="Arial" w:cs="Arial"/>
          <w:color w:val="222222"/>
          <w:shd w:val="clear" w:color="auto" w:fill="FFFFFF"/>
        </w:rPr>
        <w:t> </w:t>
      </w:r>
      <w:r w:rsidRPr="00EC4AC5">
        <w:rPr>
          <w:rFonts w:ascii="Arial" w:hAnsi="Arial" w:cs="Arial"/>
          <w:b/>
          <w:bCs/>
          <w:color w:val="222222"/>
          <w:shd w:val="clear" w:color="auto" w:fill="FFFFFF"/>
        </w:rPr>
        <w:t>8</w:t>
      </w:r>
      <w:r w:rsidRPr="00EC4AC5">
        <w:rPr>
          <w:rFonts w:ascii="Arial" w:hAnsi="Arial" w:cs="Arial"/>
          <w:color w:val="222222"/>
          <w:shd w:val="clear" w:color="auto" w:fill="FFFFFF"/>
        </w:rPr>
        <w:t>, 371–386 (2021). https://doi.org/10.14283/jpad.2021.23</w:t>
      </w:r>
    </w:p>
    <w:p w14:paraId="7B713DCC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</w:rPr>
      </w:pPr>
    </w:p>
    <w:p w14:paraId="425CC6ED" w14:textId="77777777" w:rsidR="00EA6EA8" w:rsidRDefault="00EA6EA8" w:rsidP="00EA6EA8">
      <w:pPr>
        <w:spacing w:line="240" w:lineRule="auto"/>
        <w:jc w:val="both"/>
        <w:rPr>
          <w:rFonts w:ascii="Arial" w:hAnsi="Arial" w:cs="Arial"/>
        </w:rPr>
      </w:pPr>
    </w:p>
    <w:p w14:paraId="7C4849D6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</w:rPr>
      </w:pPr>
      <w:r w:rsidRPr="00EC4AC5">
        <w:rPr>
          <w:rFonts w:ascii="Arial" w:hAnsi="Arial" w:cs="Arial"/>
        </w:rPr>
        <w:lastRenderedPageBreak/>
        <w:t>Reviews</w:t>
      </w:r>
    </w:p>
    <w:p w14:paraId="7C458B7A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</w:rPr>
      </w:pPr>
      <w:r w:rsidRPr="00EC4AC5">
        <w:rPr>
          <w:rFonts w:ascii="Arial" w:hAnsi="Arial" w:cs="Arial"/>
        </w:rPr>
        <w:t>A28. Jack, C.R. Jr., Bennett, D.A., Blennow, K., et al. (2018). "NIA-AA Research Framework: Toward a biological definition of Alzheimer's disease." Alzheimer's &amp; Dementia.</w:t>
      </w:r>
    </w:p>
    <w:p w14:paraId="1304C787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  <w:color w:val="212121"/>
          <w:shd w:val="clear" w:color="auto" w:fill="FFFFFF"/>
        </w:rPr>
        <w:t>A29. Hampel H, O'Bryant SE, Durrleman S, et al; Alzheimer Precision Medicine Initiative. A Precision Medicine Initiative for Alzheimer's disease: the road ahead to biomarker-guided integrative disease modeling. Climacteric. 2017 Apr;20(2):107-118. doi: 10.1080/13697137.2017.1287866.</w:t>
      </w:r>
    </w:p>
    <w:p w14:paraId="3967316D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  <w:color w:val="212121"/>
          <w:shd w:val="clear" w:color="auto" w:fill="FFFFFF"/>
        </w:rPr>
        <w:t>A30. Ballard C, Gauthier S, Corbett A, Brayne C, Aarsland D, Jones E. Alzheimer's disease. Lancet. 2011 Mar 19;377(9770):1019-31. doi: 10.1016/S0140-6736(10)61349-9. </w:t>
      </w:r>
    </w:p>
    <w:p w14:paraId="46E002F5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  <w:color w:val="212121"/>
          <w:shd w:val="clear" w:color="auto" w:fill="FFFFFF"/>
        </w:rPr>
        <w:t>A31. Selkoe DJ, Hardy J. The amyloid hypothesis of Alzheimer's disease at 25 years. EMBO Mol Med. 2016 Jun 1;8(6):595-608. doi: 10.15252/emmm.201606210.</w:t>
      </w:r>
    </w:p>
    <w:p w14:paraId="1ADE3B1C" w14:textId="77777777" w:rsidR="00EA6EA8" w:rsidRPr="00EC4AC5" w:rsidRDefault="00EA6EA8" w:rsidP="00EA6EA8">
      <w:pPr>
        <w:spacing w:line="240" w:lineRule="auto"/>
        <w:jc w:val="both"/>
        <w:rPr>
          <w:rFonts w:ascii="Arial" w:hAnsi="Arial" w:cs="Arial"/>
          <w:color w:val="212121"/>
          <w:shd w:val="clear" w:color="auto" w:fill="FFFFFF"/>
        </w:rPr>
      </w:pPr>
      <w:r w:rsidRPr="00EC4AC5">
        <w:rPr>
          <w:rFonts w:ascii="Arial" w:hAnsi="Arial" w:cs="Arial"/>
          <w:color w:val="212121"/>
          <w:shd w:val="clear" w:color="auto" w:fill="FFFFFF"/>
        </w:rPr>
        <w:t>A32. Heneka MT, Carson MJ, El Khoury J, et al. Neuroinflammation in Alzheimer's disease. Lancet Neurol. 2015 Apr;14(4):388-405. doi: 10.1016/S1474-4422(15)70016-5.</w:t>
      </w:r>
    </w:p>
    <w:p w14:paraId="72984480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A8"/>
    <w:rsid w:val="00755780"/>
    <w:rsid w:val="00857596"/>
    <w:rsid w:val="00EA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E2B9"/>
  <w15:chartTrackingRefBased/>
  <w15:docId w15:val="{A6740041-79AF-479A-B5E9-9C2D3BE4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6EA8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A6EA8"/>
    <w:rPr>
      <w:i/>
      <w:iCs/>
    </w:rPr>
  </w:style>
  <w:style w:type="character" w:customStyle="1" w:styleId="anchor-text">
    <w:name w:val="anchor-text"/>
    <w:basedOn w:val="DefaultParagraphFont"/>
    <w:rsid w:val="00EA6EA8"/>
  </w:style>
  <w:style w:type="character" w:customStyle="1" w:styleId="delimiter">
    <w:name w:val="delimiter"/>
    <w:basedOn w:val="DefaultParagraphFont"/>
    <w:rsid w:val="00EA6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alzrt1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126/science.10620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journal/trends-in-neurosciences/vol/24/issue/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ejm.org/toc/nejm/367/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science.org/toc/science/330/6012" TargetMode="External"/><Relationship Id="rId9" Type="http://schemas.openxmlformats.org/officeDocument/2006/relationships/hyperlink" Target="https://www.nejm.org/toc/nejm/349/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1171</Words>
  <Characters>6676</Characters>
  <Application>Microsoft Office Word</Application>
  <DocSecurity>0</DocSecurity>
  <Lines>55</Lines>
  <Paragraphs>15</Paragraphs>
  <ScaleCrop>false</ScaleCrop>
  <Company>Springer Nature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2024-04-29T03:54:00Z</dcterms:created>
  <dcterms:modified xsi:type="dcterms:W3CDTF">2024-04-29T03:54:00Z</dcterms:modified>
</cp:coreProperties>
</file>