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432" w:rsidRPr="00472AF2" w:rsidRDefault="00245D27" w:rsidP="00B33432">
      <w:pPr>
        <w:spacing w:line="48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472AF2">
        <w:rPr>
          <w:rFonts w:ascii="Times New Roman" w:hAnsi="Times New Roman" w:cs="Times New Roman"/>
          <w:b/>
          <w:sz w:val="24"/>
          <w:szCs w:val="24"/>
        </w:rPr>
        <w:t>Figure S1.</w:t>
      </w:r>
      <w:r w:rsidR="00AB44C7" w:rsidRPr="00472AF2">
        <w:rPr>
          <w:rFonts w:ascii="Times New Roman" w:hAnsi="Times New Roman" w:cs="Times New Roman"/>
          <w:sz w:val="24"/>
          <w:szCs w:val="24"/>
        </w:rPr>
        <w:t xml:space="preserve"> </w:t>
      </w:r>
      <w:r w:rsidR="00B33432" w:rsidRPr="00472AF2">
        <w:rPr>
          <w:rFonts w:ascii="Times New Roman" w:hAnsi="Times New Roman" w:cs="Times New Roman"/>
          <w:color w:val="1F1F1F"/>
          <w:sz w:val="24"/>
          <w:szCs w:val="24"/>
        </w:rPr>
        <w:t>Comparison of species richness at 1 m</w:t>
      </w:r>
      <w:r w:rsidR="00B33432" w:rsidRPr="00472AF2">
        <w:rPr>
          <w:rFonts w:ascii="Times New Roman" w:hAnsi="Times New Roman" w:cs="Times New Roman"/>
          <w:color w:val="1F1F1F"/>
          <w:sz w:val="24"/>
          <w:szCs w:val="24"/>
          <w:vertAlign w:val="superscript"/>
        </w:rPr>
        <w:t>2</w:t>
      </w:r>
      <w:r w:rsidR="00B33432" w:rsidRPr="00472AF2">
        <w:rPr>
          <w:rFonts w:ascii="Times New Roman" w:hAnsi="Times New Roman" w:cs="Times New Roman"/>
          <w:color w:val="1F1F1F"/>
          <w:sz w:val="24"/>
          <w:szCs w:val="24"/>
        </w:rPr>
        <w:t xml:space="preserve"> spatial scale (alpha diversity) (means and standard error) between </w:t>
      </w:r>
      <w:r w:rsidR="00AF31E1" w:rsidRPr="00472AF2">
        <w:rPr>
          <w:rFonts w:ascii="Times New Roman" w:hAnsi="Times New Roman" w:cs="Times New Roman"/>
          <w:color w:val="1F1F1F"/>
          <w:sz w:val="24"/>
          <w:szCs w:val="24"/>
        </w:rPr>
        <w:t>urban lawns and meadows and across years.</w:t>
      </w:r>
      <w:r w:rsidR="00B33432" w:rsidRPr="00472AF2">
        <w:rPr>
          <w:rFonts w:ascii="Times New Roman" w:hAnsi="Times New Roman" w:cs="Times New Roman"/>
          <w:color w:val="1F1F1F"/>
          <w:sz w:val="24"/>
          <w:szCs w:val="24"/>
        </w:rPr>
        <w:t xml:space="preserve"> Bars with different letters are significantly different</w:t>
      </w:r>
      <w:r w:rsidR="00472AF2" w:rsidRPr="00472AF2">
        <w:rPr>
          <w:rFonts w:ascii="Times New Roman" w:hAnsi="Times New Roman" w:cs="Times New Roman"/>
          <w:color w:val="1F1F1F"/>
          <w:sz w:val="24"/>
          <w:szCs w:val="24"/>
        </w:rPr>
        <w:t xml:space="preserve"> </w:t>
      </w:r>
      <w:r w:rsidR="00472AF2" w:rsidRPr="00472AF2">
        <w:rPr>
          <w:rFonts w:ascii="Times New Roman" w:hAnsi="Times New Roman" w:cs="Times New Roman"/>
          <w:color w:val="1F1F1F"/>
          <w:sz w:val="24"/>
          <w:szCs w:val="24"/>
        </w:rPr>
        <w:t>(</w:t>
      </w:r>
      <w:r w:rsidR="00472AF2" w:rsidRPr="00472AF2">
        <w:rPr>
          <w:rStyle w:val="Emphasis"/>
          <w:rFonts w:ascii="Times New Roman" w:hAnsi="Times New Roman" w:cs="Times New Roman"/>
          <w:color w:val="1F1F1F"/>
          <w:sz w:val="24"/>
          <w:szCs w:val="24"/>
        </w:rPr>
        <w:t>P</w:t>
      </w:r>
      <w:r w:rsidR="00472AF2" w:rsidRPr="00472AF2">
        <w:rPr>
          <w:rFonts w:ascii="Times New Roman" w:hAnsi="Times New Roman" w:cs="Times New Roman"/>
          <w:color w:val="1F1F1F"/>
          <w:sz w:val="24"/>
          <w:szCs w:val="24"/>
        </w:rPr>
        <w:t> &lt; 0.</w:t>
      </w:r>
      <w:r w:rsidR="00472AF2" w:rsidRPr="00472AF2">
        <w:rPr>
          <w:rFonts w:ascii="Times New Roman" w:hAnsi="Times New Roman" w:cs="Times New Roman"/>
          <w:color w:val="1F1F1F"/>
          <w:sz w:val="24"/>
          <w:szCs w:val="24"/>
        </w:rPr>
        <w:t>00</w:t>
      </w:r>
      <w:r w:rsidR="00472AF2" w:rsidRPr="00472AF2">
        <w:rPr>
          <w:rFonts w:ascii="Times New Roman" w:hAnsi="Times New Roman" w:cs="Times New Roman"/>
          <w:color w:val="1F1F1F"/>
          <w:sz w:val="24"/>
          <w:szCs w:val="24"/>
        </w:rPr>
        <w:t>1) based on Tukey's HSD test.</w:t>
      </w:r>
    </w:p>
    <w:p w:rsidR="00AF31E1" w:rsidRPr="00472AF2" w:rsidRDefault="00AF31E1" w:rsidP="00B33432">
      <w:pPr>
        <w:spacing w:line="480" w:lineRule="auto"/>
        <w:rPr>
          <w:rFonts w:ascii="Times New Roman" w:hAnsi="Times New Roman" w:cs="Times New Roman"/>
          <w:color w:val="1F1F1F"/>
          <w:sz w:val="24"/>
          <w:szCs w:val="24"/>
        </w:rPr>
      </w:pPr>
    </w:p>
    <w:p w:rsidR="00472AF2" w:rsidRDefault="00AF31E1" w:rsidP="00472AF2">
      <w:pPr>
        <w:spacing w:line="48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472AF2">
        <w:rPr>
          <w:rFonts w:ascii="Times New Roman" w:hAnsi="Times New Roman" w:cs="Times New Roman"/>
          <w:b/>
          <w:sz w:val="24"/>
          <w:szCs w:val="24"/>
        </w:rPr>
        <w:t>Figure S</w:t>
      </w:r>
      <w:r w:rsidR="00472AF2">
        <w:rPr>
          <w:rFonts w:ascii="Times New Roman" w:hAnsi="Times New Roman" w:cs="Times New Roman"/>
          <w:b/>
          <w:sz w:val="24"/>
          <w:szCs w:val="24"/>
        </w:rPr>
        <w:t>2</w:t>
      </w:r>
      <w:r w:rsidRPr="00472AF2">
        <w:rPr>
          <w:rFonts w:ascii="Times New Roman" w:hAnsi="Times New Roman" w:cs="Times New Roman"/>
          <w:b/>
          <w:sz w:val="24"/>
          <w:szCs w:val="24"/>
        </w:rPr>
        <w:t>.</w:t>
      </w:r>
      <w:r w:rsidRPr="00472A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2AF2" w:rsidRPr="00472AF2">
        <w:rPr>
          <w:rFonts w:ascii="Times New Roman" w:hAnsi="Times New Roman" w:cs="Times New Roman"/>
          <w:sz w:val="24"/>
          <w:szCs w:val="24"/>
        </w:rPr>
        <w:t>Comparison of soil chemical characteristics (pH, organic matter, total carbon, total nitrogen, nitrate-nitrogen, carbon to nitrogen ratio, phosphorus, and potassium) between urban lawns and meadows and across the years. Bars with different letters are significantly different (</w:t>
      </w:r>
      <w:r w:rsidR="00472AF2" w:rsidRPr="00472AF2">
        <w:rPr>
          <w:rStyle w:val="Emphasis"/>
          <w:rFonts w:ascii="Times New Roman" w:hAnsi="Times New Roman" w:cs="Times New Roman"/>
          <w:color w:val="0E101A"/>
          <w:sz w:val="24"/>
          <w:szCs w:val="24"/>
        </w:rPr>
        <w:t>P</w:t>
      </w:r>
      <w:r w:rsidR="00472AF2" w:rsidRPr="00472AF2">
        <w:rPr>
          <w:rFonts w:ascii="Times New Roman" w:hAnsi="Times New Roman" w:cs="Times New Roman"/>
          <w:sz w:val="24"/>
          <w:szCs w:val="24"/>
        </w:rPr>
        <w:t> &lt; 0.01) based on Tukey's HSD test. Note: Different letters were placed when there was a significant interaction between green space type (i.e., lawns and meadows) and year. </w:t>
      </w:r>
      <w:r w:rsidR="00472AF2" w:rsidRPr="00472AF2">
        <w:rPr>
          <w:rFonts w:ascii="Times New Roman" w:hAnsi="Times New Roman" w:cs="Times New Roman"/>
          <w:color w:val="1F1F1F"/>
          <w:sz w:val="24"/>
          <w:szCs w:val="24"/>
        </w:rPr>
        <w:t xml:space="preserve">  </w:t>
      </w:r>
    </w:p>
    <w:p w:rsidR="00472AF2" w:rsidRDefault="00472AF2" w:rsidP="00472AF2">
      <w:pPr>
        <w:spacing w:line="480" w:lineRule="auto"/>
        <w:rPr>
          <w:rFonts w:ascii="Times New Roman" w:hAnsi="Times New Roman" w:cs="Times New Roman"/>
          <w:color w:val="1F1F1F"/>
          <w:sz w:val="24"/>
          <w:szCs w:val="24"/>
        </w:rPr>
      </w:pPr>
    </w:p>
    <w:p w:rsidR="00472AF2" w:rsidRDefault="00472AF2" w:rsidP="00472AF2">
      <w:pPr>
        <w:spacing w:line="48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472AF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472AF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72AF2">
        <w:rPr>
          <w:rFonts w:ascii="Times New Roman" w:hAnsi="Times New Roman" w:cs="Times New Roman"/>
          <w:sz w:val="24"/>
          <w:szCs w:val="24"/>
        </w:rPr>
        <w:t xml:space="preserve">Comparison of </w:t>
      </w:r>
      <w:r>
        <w:rPr>
          <w:rFonts w:ascii="Times New Roman" w:hAnsi="Times New Roman" w:cs="Times New Roman"/>
          <w:sz w:val="24"/>
          <w:szCs w:val="24"/>
        </w:rPr>
        <w:t>soil microbial functional groups</w:t>
      </w:r>
      <w:r w:rsidRPr="00472AF2">
        <w:rPr>
          <w:rFonts w:ascii="Times New Roman" w:hAnsi="Times New Roman" w:cs="Times New Roman"/>
          <w:sz w:val="24"/>
          <w:szCs w:val="24"/>
        </w:rPr>
        <w:t xml:space="preserve"> </w:t>
      </w:r>
      <w:r w:rsidR="001F5E5A">
        <w:rPr>
          <w:rFonts w:ascii="Times New Roman" w:hAnsi="Times New Roman" w:cs="Times New Roman"/>
          <w:sz w:val="24"/>
          <w:szCs w:val="24"/>
        </w:rPr>
        <w:t xml:space="preserve">abundance </w:t>
      </w:r>
      <w:r w:rsidRPr="00472AF2">
        <w:rPr>
          <w:rFonts w:ascii="Times New Roman" w:hAnsi="Times New Roman" w:cs="Times New Roman"/>
          <w:sz w:val="24"/>
          <w:szCs w:val="24"/>
        </w:rPr>
        <w:t>(</w:t>
      </w:r>
      <w:r w:rsidR="000914A4">
        <w:rPr>
          <w:rFonts w:ascii="Times New Roman" w:hAnsi="Times New Roman" w:cs="Times New Roman"/>
          <w:sz w:val="24"/>
          <w:szCs w:val="24"/>
        </w:rPr>
        <w:t>arbuscular mycorrhizae fungi (AMF), gram +ve bacteria</w:t>
      </w:r>
      <w:r w:rsidR="001F5E5A">
        <w:rPr>
          <w:rFonts w:ascii="Times New Roman" w:hAnsi="Times New Roman" w:cs="Times New Roman"/>
          <w:sz w:val="24"/>
          <w:szCs w:val="24"/>
        </w:rPr>
        <w:t xml:space="preserve">, gram –ve bacteria, total microbial, and fungal to bacterial ratio) </w:t>
      </w:r>
      <w:r w:rsidRPr="00472AF2">
        <w:rPr>
          <w:rFonts w:ascii="Times New Roman" w:hAnsi="Times New Roman" w:cs="Times New Roman"/>
          <w:sz w:val="24"/>
          <w:szCs w:val="24"/>
        </w:rPr>
        <w:t>between urban lawns and meadows and across the years. Bars with different letters are significantly different (</w:t>
      </w:r>
      <w:r w:rsidRPr="00472AF2">
        <w:rPr>
          <w:rStyle w:val="Emphasis"/>
          <w:rFonts w:ascii="Times New Roman" w:hAnsi="Times New Roman" w:cs="Times New Roman"/>
          <w:color w:val="0E101A"/>
          <w:sz w:val="24"/>
          <w:szCs w:val="24"/>
        </w:rPr>
        <w:t>P</w:t>
      </w:r>
      <w:r w:rsidRPr="00472AF2">
        <w:rPr>
          <w:rFonts w:ascii="Times New Roman" w:hAnsi="Times New Roman" w:cs="Times New Roman"/>
          <w:sz w:val="24"/>
          <w:szCs w:val="24"/>
        </w:rPr>
        <w:t> &lt; 0.01) based on Tukey's HSD test. Note: Different letters were placed when there was a significant interaction between green space type (i.e., lawns and meadows) and year. </w:t>
      </w:r>
      <w:r w:rsidRPr="00472AF2">
        <w:rPr>
          <w:rFonts w:ascii="Times New Roman" w:hAnsi="Times New Roman" w:cs="Times New Roman"/>
          <w:color w:val="1F1F1F"/>
          <w:sz w:val="24"/>
          <w:szCs w:val="24"/>
        </w:rPr>
        <w:t xml:space="preserve">   </w:t>
      </w:r>
    </w:p>
    <w:p w:rsidR="00472AF2" w:rsidRDefault="00472AF2" w:rsidP="00472AF2">
      <w:pPr>
        <w:spacing w:line="480" w:lineRule="auto"/>
        <w:rPr>
          <w:rFonts w:ascii="Times New Roman" w:hAnsi="Times New Roman" w:cs="Times New Roman"/>
          <w:color w:val="1F1F1F"/>
          <w:sz w:val="24"/>
          <w:szCs w:val="24"/>
        </w:rPr>
      </w:pPr>
    </w:p>
    <w:p w:rsidR="00AF31E1" w:rsidRDefault="00472AF2" w:rsidP="00AF31E1">
      <w:pPr>
        <w:spacing w:line="480" w:lineRule="auto"/>
        <w:rPr>
          <w:rFonts w:ascii="Georgia" w:hAnsi="Georgia"/>
          <w:color w:val="1F1F1F"/>
        </w:rPr>
      </w:pPr>
      <w:r w:rsidRPr="00472AF2">
        <w:rPr>
          <w:rFonts w:ascii="Times New Roman" w:hAnsi="Times New Roman" w:cs="Times New Roman"/>
          <w:b/>
          <w:sz w:val="24"/>
          <w:szCs w:val="24"/>
        </w:rPr>
        <w:t>Figure S</w:t>
      </w:r>
      <w:r w:rsidR="00B54D85">
        <w:rPr>
          <w:rFonts w:ascii="Times New Roman" w:hAnsi="Times New Roman" w:cs="Times New Roman"/>
          <w:b/>
          <w:sz w:val="24"/>
          <w:szCs w:val="24"/>
        </w:rPr>
        <w:t>4</w:t>
      </w:r>
      <w:r w:rsidRPr="00472AF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72AF2">
        <w:rPr>
          <w:rFonts w:ascii="Times New Roman" w:hAnsi="Times New Roman" w:cs="Times New Roman"/>
          <w:sz w:val="24"/>
          <w:szCs w:val="24"/>
        </w:rPr>
        <w:t xml:space="preserve">Comparison of soil </w:t>
      </w:r>
      <w:r w:rsidR="00B54D85">
        <w:rPr>
          <w:rFonts w:ascii="Times New Roman" w:hAnsi="Times New Roman" w:cs="Times New Roman"/>
          <w:sz w:val="24"/>
          <w:szCs w:val="24"/>
        </w:rPr>
        <w:t xml:space="preserve">trace metal elements </w:t>
      </w:r>
      <w:r w:rsidRPr="00472AF2">
        <w:rPr>
          <w:rFonts w:ascii="Times New Roman" w:hAnsi="Times New Roman" w:cs="Times New Roman"/>
          <w:sz w:val="24"/>
          <w:szCs w:val="24"/>
        </w:rPr>
        <w:t>(</w:t>
      </w:r>
      <w:r w:rsidR="001F5E5A">
        <w:rPr>
          <w:rFonts w:ascii="Times New Roman" w:hAnsi="Times New Roman" w:cs="Times New Roman"/>
          <w:sz w:val="24"/>
          <w:szCs w:val="24"/>
        </w:rPr>
        <w:t>zinc, copper, aluminium, arsenic, calcium, cadmium, iron, magnesium, manganese, sodium, nickle, and lead</w:t>
      </w:r>
      <w:r w:rsidRPr="00472AF2">
        <w:rPr>
          <w:rFonts w:ascii="Times New Roman" w:hAnsi="Times New Roman" w:cs="Times New Roman"/>
          <w:sz w:val="24"/>
          <w:szCs w:val="24"/>
        </w:rPr>
        <w:t>) between urban lawns and meadows and across the years. Bars with different letters are significantly different (</w:t>
      </w:r>
      <w:r w:rsidRPr="00472AF2">
        <w:rPr>
          <w:rStyle w:val="Emphasis"/>
          <w:rFonts w:ascii="Times New Roman" w:hAnsi="Times New Roman" w:cs="Times New Roman"/>
          <w:color w:val="0E101A"/>
          <w:sz w:val="24"/>
          <w:szCs w:val="24"/>
        </w:rPr>
        <w:t>P</w:t>
      </w:r>
      <w:r w:rsidRPr="00472AF2">
        <w:rPr>
          <w:rFonts w:ascii="Times New Roman" w:hAnsi="Times New Roman" w:cs="Times New Roman"/>
          <w:sz w:val="24"/>
          <w:szCs w:val="24"/>
        </w:rPr>
        <w:t> &lt; 0.01) based on Tukey's HSD test. Note: Different letters were placed when there was a significant interaction between green space type (i.e., lawns and meadows) and year. </w:t>
      </w:r>
      <w:bookmarkStart w:id="0" w:name="_GoBack"/>
      <w:bookmarkEnd w:id="0"/>
    </w:p>
    <w:sectPr w:rsidR="00AF31E1" w:rsidSect="00CF642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EwMrewMDAxMLM0NjNX0lEKTi0uzszPAykwqQUAhOoLpiwAAAA="/>
  </w:docVars>
  <w:rsids>
    <w:rsidRoot w:val="00696004"/>
    <w:rsid w:val="0005129B"/>
    <w:rsid w:val="00063E61"/>
    <w:rsid w:val="00064C15"/>
    <w:rsid w:val="000914A4"/>
    <w:rsid w:val="000B3F39"/>
    <w:rsid w:val="001435A5"/>
    <w:rsid w:val="001D1B77"/>
    <w:rsid w:val="001F5E5A"/>
    <w:rsid w:val="002107C4"/>
    <w:rsid w:val="00245D27"/>
    <w:rsid w:val="002570E3"/>
    <w:rsid w:val="00286B99"/>
    <w:rsid w:val="002B3FF6"/>
    <w:rsid w:val="002D13B2"/>
    <w:rsid w:val="002E4322"/>
    <w:rsid w:val="003072D4"/>
    <w:rsid w:val="003335DB"/>
    <w:rsid w:val="00355690"/>
    <w:rsid w:val="00393D0D"/>
    <w:rsid w:val="00472AF2"/>
    <w:rsid w:val="00477590"/>
    <w:rsid w:val="004C751B"/>
    <w:rsid w:val="0058119B"/>
    <w:rsid w:val="005C5939"/>
    <w:rsid w:val="005C5E6A"/>
    <w:rsid w:val="006354B8"/>
    <w:rsid w:val="00674D2E"/>
    <w:rsid w:val="00696004"/>
    <w:rsid w:val="007C25C3"/>
    <w:rsid w:val="00823EDA"/>
    <w:rsid w:val="008946EF"/>
    <w:rsid w:val="008D1B47"/>
    <w:rsid w:val="008F23E8"/>
    <w:rsid w:val="00925044"/>
    <w:rsid w:val="00925EA6"/>
    <w:rsid w:val="00960E30"/>
    <w:rsid w:val="009B79EB"/>
    <w:rsid w:val="009D6FBC"/>
    <w:rsid w:val="00AB44C7"/>
    <w:rsid w:val="00AF31E1"/>
    <w:rsid w:val="00B33432"/>
    <w:rsid w:val="00B54D85"/>
    <w:rsid w:val="00B66D24"/>
    <w:rsid w:val="00C8122B"/>
    <w:rsid w:val="00CF6423"/>
    <w:rsid w:val="00D30DB7"/>
    <w:rsid w:val="00D37EE5"/>
    <w:rsid w:val="00D54DE0"/>
    <w:rsid w:val="00DB7BD0"/>
    <w:rsid w:val="00DB7D58"/>
    <w:rsid w:val="00DD389D"/>
    <w:rsid w:val="00DE213A"/>
    <w:rsid w:val="00E230E0"/>
    <w:rsid w:val="00E3007A"/>
    <w:rsid w:val="00ED4917"/>
    <w:rsid w:val="00EF26EC"/>
    <w:rsid w:val="00EF43CF"/>
    <w:rsid w:val="00F86501"/>
    <w:rsid w:val="00FB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C1D9CE-07D5-48E8-8C52-AA7E25DF9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354B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29B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B33432"/>
    <w:rPr>
      <w:b/>
      <w:bCs/>
    </w:rPr>
  </w:style>
  <w:style w:type="character" w:customStyle="1" w:styleId="anchor-text">
    <w:name w:val="anchor-text"/>
    <w:basedOn w:val="DefaultParagraphFont"/>
    <w:rsid w:val="00B33432"/>
  </w:style>
  <w:style w:type="character" w:styleId="Emphasis">
    <w:name w:val="Emphasis"/>
    <w:basedOn w:val="DefaultParagraphFont"/>
    <w:uiPriority w:val="20"/>
    <w:qFormat/>
    <w:rsid w:val="00B334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1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83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1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86597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Paudel, Shishir</dc:creator>
  <cp:keywords/>
  <dc:description/>
  <cp:lastModifiedBy>Paudel, Shishir</cp:lastModifiedBy>
  <cp:revision>6</cp:revision>
  <cp:lastPrinted>2023-12-27T19:54:00Z</cp:lastPrinted>
  <dcterms:created xsi:type="dcterms:W3CDTF">2024-01-08T17:23:00Z</dcterms:created>
  <dcterms:modified xsi:type="dcterms:W3CDTF">2024-01-08T20:30:00Z</dcterms:modified>
</cp:coreProperties>
</file>