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480" w:lineRule="auto"/>
        <w:rPr>
          <w:rFonts w:ascii="Times New Roman" w:hAnsi="Times New Roman" w:eastAsia="Times New Roman" w:cs="Times New Roman"/>
          <w:color w:val="auto"/>
          <w:sz w:val="21"/>
        </w:rPr>
      </w:pPr>
      <w:bookmarkStart w:id="2" w:name="_GoBack"/>
      <w:bookmarkEnd w:id="2"/>
      <w:r>
        <w:rPr>
          <w:rFonts w:ascii="Times New Roman" w:hAnsi="Times New Roman" w:eastAsia="Times New Roman" w:cs="Times New Roman"/>
          <w:color w:val="auto"/>
          <w:sz w:val="21"/>
        </w:rPr>
        <w:t xml:space="preserve">Supplementary Table </w:t>
      </w:r>
      <w:r>
        <w:rPr>
          <w:rFonts w:hint="eastAsia" w:ascii="Times New Roman" w:hAnsi="Times New Roman" w:eastAsia="宋体" w:cs="Times New Roman"/>
          <w:color w:val="auto"/>
          <w:sz w:val="21"/>
          <w:lang w:val="en-US" w:eastAsia="zh-CN"/>
        </w:rPr>
        <w:t>6</w:t>
      </w:r>
      <w:r>
        <w:rPr>
          <w:rFonts w:ascii="Times New Roman" w:hAnsi="Times New Roman" w:eastAsia="Times New Roman" w:cs="Times New Roman"/>
          <w:color w:val="auto"/>
          <w:sz w:val="21"/>
        </w:rPr>
        <w:t xml:space="preserve">. </w:t>
      </w:r>
      <w:r>
        <w:rPr>
          <w:rFonts w:hint="eastAsia" w:ascii="Times New Roman" w:hAnsi="Times New Roman" w:eastAsia="宋体" w:cs="Times New Roman"/>
          <w:color w:val="auto"/>
          <w:sz w:val="21"/>
          <w:szCs w:val="21"/>
          <w:lang w:val="en-US" w:eastAsia="zh-CN"/>
        </w:rPr>
        <w:t>T</w:t>
      </w:r>
      <w:r>
        <w:rPr>
          <w:rFonts w:hint="eastAsia" w:ascii="Times New Roman" w:hAnsi="Times New Roman" w:eastAsia="Times New Roman" w:cs="Times New Roman"/>
          <w:color w:val="auto"/>
          <w:sz w:val="21"/>
          <w:szCs w:val="21"/>
        </w:rPr>
        <w:t xml:space="preserve">he </w:t>
      </w:r>
      <w:r>
        <w:rPr>
          <w:rFonts w:ascii="Times New Roman" w:hAnsi="Times New Roman" w:eastAsia="Times New Roman" w:cs="Times New Roman"/>
          <w:color w:val="auto"/>
          <w:sz w:val="21"/>
          <w:szCs w:val="21"/>
        </w:rPr>
        <w:t>flap blood supply disorder</w:t>
      </w:r>
      <w:r>
        <w:rPr>
          <w:rFonts w:hint="eastAsia" w:ascii="Times New Roman" w:hAnsi="Times New Roman" w:eastAsia="宋体" w:cs="Times New Roman"/>
          <w:color w:val="auto"/>
          <w:sz w:val="21"/>
          <w:szCs w:val="21"/>
          <w:lang w:val="en-US" w:eastAsia="zh-CN"/>
        </w:rPr>
        <w:t>,reoperation,</w:t>
      </w:r>
      <w:r>
        <w:rPr>
          <w:rFonts w:ascii="Times New Roman" w:hAnsi="Times New Roman" w:eastAsia="Times New Roman" w:cs="Times New Roman"/>
          <w:color w:val="auto"/>
          <w:sz w:val="21"/>
          <w:szCs w:val="21"/>
        </w:rPr>
        <w:t>necrosis occurred</w:t>
      </w:r>
      <w:r>
        <w:rPr>
          <w:rFonts w:hint="eastAsia" w:ascii="Times New Roman" w:hAnsi="Times New Roman" w:eastAsia="宋体" w:cs="Times New Roman"/>
          <w:color w:val="auto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eastAsia="等线" w:cs="Times New Roman"/>
          <w:color w:val="auto"/>
          <w:sz w:val="21"/>
          <w:szCs w:val="21"/>
          <w:lang w:val="en-US" w:eastAsia="zh-CN"/>
        </w:rPr>
        <w:t xml:space="preserve">of </w:t>
      </w:r>
      <w:r>
        <w:rPr>
          <w:rFonts w:hint="eastAsia" w:ascii="Times New Roman" w:hAnsi="Times New Roman" w:eastAsia="Times New Roman" w:cs="Times New Roman"/>
          <w:color w:val="auto"/>
          <w:sz w:val="21"/>
          <w:szCs w:val="21"/>
        </w:rPr>
        <w:t>postoperative</w:t>
      </w:r>
      <w:r>
        <w:rPr>
          <w:rFonts w:hint="eastAsia" w:ascii="Times New Roman" w:hAnsi="Times New Roman" w:eastAsia="宋体" w:cs="Times New Roman"/>
          <w:color w:val="auto"/>
          <w:sz w:val="21"/>
          <w:szCs w:val="21"/>
          <w:lang w:val="en-US" w:eastAsia="zh-CN"/>
        </w:rPr>
        <w:t xml:space="preserve"> with two groups of preoperative CTA examination</w:t>
      </w:r>
    </w:p>
    <w:tbl>
      <w:tblPr>
        <w:tblStyle w:val="4"/>
        <w:tblW w:w="822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2"/>
        <w:gridCol w:w="448"/>
        <w:gridCol w:w="2310"/>
        <w:gridCol w:w="448"/>
        <w:gridCol w:w="2310"/>
      </w:tblGrid>
      <w:tr>
        <w:trPr>
          <w:trHeight w:val="285" w:hRule="atLeast"/>
          <w:jc w:val="center"/>
        </w:trPr>
        <w:tc>
          <w:tcPr>
            <w:tcW w:w="2712" w:type="dxa"/>
            <w:vMerge w:val="restart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</w:rPr>
              <w:t>evaluation item</w:t>
            </w:r>
          </w:p>
        </w:tc>
        <w:tc>
          <w:tcPr>
            <w:tcW w:w="2758" w:type="dxa"/>
            <w:gridSpan w:val="2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napToGrid/>
              <w:spacing w:after="0"/>
              <w:jc w:val="center"/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Do CTA</w:t>
            </w:r>
          </w:p>
        </w:tc>
        <w:tc>
          <w:tcPr>
            <w:tcW w:w="2758" w:type="dxa"/>
            <w:gridSpan w:val="2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napToGrid/>
              <w:spacing w:after="0"/>
              <w:jc w:val="center"/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Don't CTA</w:t>
            </w:r>
          </w:p>
        </w:tc>
      </w:tr>
      <w:tr>
        <w:trPr>
          <w:trHeight w:val="285" w:hRule="atLeast"/>
          <w:jc w:val="center"/>
        </w:trPr>
        <w:tc>
          <w:tcPr>
            <w:tcW w:w="2712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napToGrid/>
              <w:spacing w:after="0"/>
              <w:jc w:val="center"/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</w:pPr>
          </w:p>
        </w:tc>
        <w:tc>
          <w:tcPr>
            <w:tcW w:w="448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napToGrid/>
              <w:spacing w:after="0"/>
              <w:jc w:val="center"/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  <w:t>n</w:t>
            </w:r>
          </w:p>
        </w:tc>
        <w:tc>
          <w:tcPr>
            <w:tcW w:w="2310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napToGrid/>
              <w:spacing w:after="0"/>
              <w:jc w:val="center"/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</w:rPr>
              <w:t>Incidence rate</w:t>
            </w: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(%)</w:t>
            </w:r>
          </w:p>
        </w:tc>
        <w:tc>
          <w:tcPr>
            <w:tcW w:w="448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napToGrid/>
              <w:spacing w:after="0"/>
              <w:jc w:val="center"/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  <w:t>n</w:t>
            </w:r>
          </w:p>
        </w:tc>
        <w:tc>
          <w:tcPr>
            <w:tcW w:w="2310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napToGrid/>
              <w:spacing w:after="0"/>
              <w:jc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</w:rPr>
              <w:t>Incidence rate</w:t>
            </w:r>
            <w:bookmarkStart w:id="0" w:name="OLE_LINK2"/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(%)</w:t>
            </w:r>
            <w:bookmarkEnd w:id="0"/>
          </w:p>
        </w:tc>
      </w:tr>
      <w:tr>
        <w:trPr>
          <w:trHeight w:val="285" w:hRule="atLeast"/>
          <w:jc w:val="center"/>
        </w:trPr>
        <w:tc>
          <w:tcPr>
            <w:tcW w:w="2712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napToGrid/>
              <w:spacing w:after="0"/>
              <w:jc w:val="left"/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</w:pPr>
            <w:bookmarkStart w:id="1" w:name="OLE_LINK3"/>
            <w:r>
              <w:rPr>
                <w:rFonts w:hint="eastAsia" w:ascii="Times New Roman" w:hAnsi="Times New Roman" w:eastAsia="Times New Roman" w:cs="Times New Roman"/>
                <w:color w:val="auto"/>
                <w:sz w:val="21"/>
                <w:szCs w:val="21"/>
              </w:rPr>
              <w:t xml:space="preserve">the </w:t>
            </w:r>
            <w:r>
              <w:rPr>
                <w:rFonts w:ascii="Times New Roman" w:hAnsi="Times New Roman" w:eastAsia="Times New Roman" w:cs="Times New Roman"/>
                <w:color w:val="auto"/>
                <w:sz w:val="21"/>
                <w:szCs w:val="21"/>
              </w:rPr>
              <w:t>flap blood supply disorder</w:t>
            </w:r>
            <w:bookmarkEnd w:id="1"/>
            <w:r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  <w:t>(</w:t>
            </w:r>
            <w:r>
              <w:rPr>
                <w:rFonts w:ascii="Times New Roman" w:hAnsi="Times New Roman" w:eastAsia="Times New Roman" w:cs="Times New Roman"/>
                <w:color w:val="auto"/>
                <w:sz w:val="21"/>
                <w:szCs w:val="21"/>
              </w:rPr>
              <w:t>scapular skin flap</w:t>
            </w:r>
            <w:r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  <w:t xml:space="preserve"> )</w:t>
            </w:r>
          </w:p>
        </w:tc>
        <w:tc>
          <w:tcPr>
            <w:tcW w:w="448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napToGrid/>
              <w:spacing w:after="0"/>
              <w:jc w:val="center"/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310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napToGrid/>
              <w:spacing w:after="0"/>
              <w:jc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448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napToGrid/>
              <w:spacing w:after="0"/>
              <w:jc w:val="center"/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310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napToGrid/>
              <w:spacing w:after="0"/>
              <w:jc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16.7</w:t>
            </w:r>
          </w:p>
        </w:tc>
      </w:tr>
      <w:tr>
        <w:trPr>
          <w:trHeight w:val="285" w:hRule="atLeast"/>
          <w:jc w:val="center"/>
        </w:trPr>
        <w:tc>
          <w:tcPr>
            <w:tcW w:w="2712" w:type="dxa"/>
            <w:shd w:val="clear" w:color="auto" w:fill="auto"/>
            <w:noWrap/>
            <w:vAlign w:val="bottom"/>
          </w:tcPr>
          <w:p>
            <w:pPr>
              <w:snapToGrid/>
              <w:spacing w:after="0"/>
              <w:jc w:val="left"/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reoperation</w:t>
            </w:r>
            <w:r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  <w:t>(</w:t>
            </w:r>
            <w:r>
              <w:rPr>
                <w:rFonts w:ascii="Times New Roman" w:hAnsi="Times New Roman" w:eastAsia="Times New Roman" w:cs="Times New Roman"/>
                <w:color w:val="auto"/>
                <w:sz w:val="21"/>
                <w:szCs w:val="21"/>
              </w:rPr>
              <w:t>scapular skin flap</w:t>
            </w:r>
            <w:r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  <w:t xml:space="preserve"> )</w:t>
            </w:r>
          </w:p>
        </w:tc>
        <w:tc>
          <w:tcPr>
            <w:tcW w:w="448" w:type="dxa"/>
            <w:shd w:val="clear" w:color="auto" w:fill="auto"/>
            <w:noWrap/>
            <w:vAlign w:val="bottom"/>
          </w:tcPr>
          <w:p>
            <w:pPr>
              <w:snapToGrid/>
              <w:spacing w:after="0"/>
              <w:jc w:val="center"/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310" w:type="dxa"/>
            <w:shd w:val="clear" w:color="auto" w:fill="auto"/>
            <w:noWrap/>
            <w:vAlign w:val="bottom"/>
          </w:tcPr>
          <w:p>
            <w:pPr>
              <w:snapToGrid/>
              <w:spacing w:after="0"/>
              <w:jc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448" w:type="dxa"/>
            <w:shd w:val="clear" w:color="auto" w:fill="auto"/>
            <w:noWrap/>
            <w:vAlign w:val="bottom"/>
          </w:tcPr>
          <w:p>
            <w:pPr>
              <w:snapToGrid/>
              <w:spacing w:after="0"/>
              <w:jc w:val="center"/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310" w:type="dxa"/>
            <w:shd w:val="clear" w:color="auto" w:fill="auto"/>
            <w:noWrap/>
            <w:vAlign w:val="bottom"/>
          </w:tcPr>
          <w:p>
            <w:pPr>
              <w:snapToGrid/>
              <w:spacing w:after="0"/>
              <w:jc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16.7</w:t>
            </w:r>
          </w:p>
        </w:tc>
      </w:tr>
      <w:tr>
        <w:trPr>
          <w:trHeight w:val="285" w:hRule="atLeast"/>
          <w:jc w:val="center"/>
        </w:trPr>
        <w:tc>
          <w:tcPr>
            <w:tcW w:w="2712" w:type="dxa"/>
            <w:shd w:val="clear" w:color="auto" w:fill="auto"/>
            <w:noWrap/>
            <w:vAlign w:val="bottom"/>
          </w:tcPr>
          <w:p>
            <w:pPr>
              <w:snapToGrid/>
              <w:spacing w:after="0"/>
              <w:jc w:val="left"/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1"/>
                <w:szCs w:val="21"/>
              </w:rPr>
              <w:t>necrosis occurred</w:t>
            </w:r>
            <w:r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  <w:t>(</w:t>
            </w:r>
            <w:r>
              <w:rPr>
                <w:rFonts w:ascii="Times New Roman" w:hAnsi="Times New Roman" w:eastAsia="Times New Roman" w:cs="Times New Roman"/>
                <w:color w:val="auto"/>
                <w:sz w:val="21"/>
                <w:szCs w:val="21"/>
              </w:rPr>
              <w:t>scapular skin flap</w:t>
            </w:r>
            <w:r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  <w:t xml:space="preserve"> )</w:t>
            </w:r>
          </w:p>
        </w:tc>
        <w:tc>
          <w:tcPr>
            <w:tcW w:w="448" w:type="dxa"/>
            <w:shd w:val="clear" w:color="auto" w:fill="auto"/>
            <w:noWrap/>
            <w:vAlign w:val="bottom"/>
          </w:tcPr>
          <w:p>
            <w:pPr>
              <w:snapToGrid/>
              <w:spacing w:after="0"/>
              <w:jc w:val="center"/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310" w:type="dxa"/>
            <w:shd w:val="clear" w:color="auto" w:fill="auto"/>
            <w:noWrap/>
            <w:vAlign w:val="bottom"/>
          </w:tcPr>
          <w:p>
            <w:pPr>
              <w:snapToGrid/>
              <w:spacing w:after="0"/>
              <w:jc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448" w:type="dxa"/>
            <w:shd w:val="clear" w:color="auto" w:fill="auto"/>
            <w:noWrap/>
            <w:vAlign w:val="bottom"/>
          </w:tcPr>
          <w:p>
            <w:pPr>
              <w:snapToGrid/>
              <w:spacing w:after="0"/>
              <w:jc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310" w:type="dxa"/>
            <w:shd w:val="clear" w:color="auto" w:fill="auto"/>
            <w:noWrap/>
            <w:vAlign w:val="bottom"/>
          </w:tcPr>
          <w:p>
            <w:pPr>
              <w:snapToGrid/>
              <w:spacing w:after="0"/>
              <w:jc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</w:tr>
      <w:tr>
        <w:trPr>
          <w:trHeight w:val="285" w:hRule="atLeast"/>
          <w:jc w:val="center"/>
        </w:trPr>
        <w:tc>
          <w:tcPr>
            <w:tcW w:w="2712" w:type="dxa"/>
            <w:shd w:val="clear" w:color="auto" w:fill="auto"/>
            <w:noWrap/>
            <w:vAlign w:val="bottom"/>
          </w:tcPr>
          <w:p>
            <w:pPr>
              <w:snapToGrid/>
              <w:spacing w:after="0"/>
              <w:jc w:val="left"/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1"/>
                <w:szCs w:val="21"/>
              </w:rPr>
              <w:t xml:space="preserve">the </w:t>
            </w:r>
            <w:r>
              <w:rPr>
                <w:rFonts w:ascii="Times New Roman" w:hAnsi="Times New Roman" w:eastAsia="Times New Roman" w:cs="Times New Roman"/>
                <w:color w:val="auto"/>
                <w:sz w:val="21"/>
                <w:szCs w:val="21"/>
              </w:rPr>
              <w:t>flap blood supply disorder</w:t>
            </w:r>
            <w:r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  <w:t>(</w:t>
            </w:r>
            <w:r>
              <w:rPr>
                <w:rFonts w:ascii="Times New Roman" w:hAnsi="Times New Roman" w:eastAsia="Times New Roman" w:cs="Times New Roman"/>
                <w:color w:val="auto"/>
                <w:sz w:val="21"/>
                <w:szCs w:val="21"/>
              </w:rPr>
              <w:t>latissimus dorsi musculocutaneous flap</w:t>
            </w:r>
            <w:r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  <w:t>)</w:t>
            </w:r>
          </w:p>
        </w:tc>
        <w:tc>
          <w:tcPr>
            <w:tcW w:w="448" w:type="dxa"/>
            <w:shd w:val="clear" w:color="auto" w:fill="auto"/>
            <w:noWrap/>
            <w:vAlign w:val="bottom"/>
          </w:tcPr>
          <w:p>
            <w:pPr>
              <w:snapToGrid/>
              <w:spacing w:after="0"/>
              <w:jc w:val="center"/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310" w:type="dxa"/>
            <w:shd w:val="clear" w:color="auto" w:fill="auto"/>
            <w:noWrap/>
            <w:vAlign w:val="bottom"/>
          </w:tcPr>
          <w:p>
            <w:pPr>
              <w:snapToGrid/>
              <w:spacing w:after="0"/>
              <w:jc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448" w:type="dxa"/>
            <w:shd w:val="clear" w:color="auto" w:fill="auto"/>
            <w:noWrap/>
            <w:vAlign w:val="bottom"/>
          </w:tcPr>
          <w:p>
            <w:pPr>
              <w:snapToGrid/>
              <w:spacing w:after="0"/>
              <w:jc w:val="center"/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310" w:type="dxa"/>
            <w:shd w:val="clear" w:color="auto" w:fill="auto"/>
            <w:noWrap/>
            <w:vAlign w:val="bottom"/>
          </w:tcPr>
          <w:p>
            <w:pPr>
              <w:snapToGrid/>
              <w:spacing w:after="0"/>
              <w:jc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20.0</w:t>
            </w:r>
          </w:p>
        </w:tc>
      </w:tr>
      <w:tr>
        <w:trPr>
          <w:trHeight w:val="285" w:hRule="atLeast"/>
          <w:jc w:val="center"/>
        </w:trPr>
        <w:tc>
          <w:tcPr>
            <w:tcW w:w="2712" w:type="dxa"/>
            <w:shd w:val="clear" w:color="auto" w:fill="auto"/>
            <w:noWrap/>
            <w:vAlign w:val="bottom"/>
          </w:tcPr>
          <w:p>
            <w:pPr>
              <w:snapToGrid/>
              <w:spacing w:after="0"/>
              <w:jc w:val="left"/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reoperation</w:t>
            </w:r>
            <w:r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  <w:t>(</w:t>
            </w:r>
            <w:r>
              <w:rPr>
                <w:rFonts w:ascii="Times New Roman" w:hAnsi="Times New Roman" w:eastAsia="Times New Roman" w:cs="Times New Roman"/>
                <w:color w:val="auto"/>
                <w:sz w:val="21"/>
                <w:szCs w:val="21"/>
              </w:rPr>
              <w:t>latissimus dorsi musculocutaneous flap</w:t>
            </w:r>
            <w:r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  <w:t>)</w:t>
            </w:r>
          </w:p>
        </w:tc>
        <w:tc>
          <w:tcPr>
            <w:tcW w:w="448" w:type="dxa"/>
            <w:shd w:val="clear" w:color="auto" w:fill="auto"/>
            <w:noWrap/>
            <w:vAlign w:val="bottom"/>
          </w:tcPr>
          <w:p>
            <w:pPr>
              <w:snapToGrid/>
              <w:spacing w:after="0"/>
              <w:jc w:val="center"/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310" w:type="dxa"/>
            <w:shd w:val="clear" w:color="auto" w:fill="auto"/>
            <w:noWrap/>
            <w:vAlign w:val="bottom"/>
          </w:tcPr>
          <w:p>
            <w:pPr>
              <w:snapToGrid/>
              <w:spacing w:after="0"/>
              <w:jc w:val="center"/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448" w:type="dxa"/>
            <w:shd w:val="clear" w:color="auto" w:fill="auto"/>
            <w:noWrap/>
            <w:vAlign w:val="bottom"/>
          </w:tcPr>
          <w:p>
            <w:pPr>
              <w:snapToGrid/>
              <w:spacing w:after="0"/>
              <w:jc w:val="center"/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310" w:type="dxa"/>
            <w:shd w:val="clear" w:color="auto" w:fill="auto"/>
            <w:noWrap/>
            <w:vAlign w:val="bottom"/>
          </w:tcPr>
          <w:p>
            <w:pPr>
              <w:snapToGrid/>
              <w:spacing w:after="0"/>
              <w:jc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20.0</w:t>
            </w:r>
          </w:p>
        </w:tc>
      </w:tr>
      <w:tr>
        <w:trPr>
          <w:trHeight w:val="285" w:hRule="atLeast"/>
          <w:jc w:val="center"/>
        </w:trPr>
        <w:tc>
          <w:tcPr>
            <w:tcW w:w="2712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napToGrid/>
              <w:spacing w:after="0"/>
              <w:jc w:val="left"/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1"/>
                <w:szCs w:val="21"/>
              </w:rPr>
              <w:t>necrosis occurred</w:t>
            </w:r>
            <w:r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  <w:t>(</w:t>
            </w:r>
            <w:r>
              <w:rPr>
                <w:rFonts w:ascii="Times New Roman" w:hAnsi="Times New Roman" w:eastAsia="Times New Roman" w:cs="Times New Roman"/>
                <w:color w:val="auto"/>
                <w:sz w:val="21"/>
                <w:szCs w:val="21"/>
              </w:rPr>
              <w:t>latissimus dorsi musculocutaneous flap</w:t>
            </w:r>
            <w:r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  <w:t>)</w:t>
            </w:r>
          </w:p>
        </w:tc>
        <w:tc>
          <w:tcPr>
            <w:tcW w:w="448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napToGrid/>
              <w:spacing w:after="0"/>
              <w:jc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310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napToGrid/>
              <w:spacing w:after="0"/>
              <w:jc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448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napToGrid/>
              <w:spacing w:after="0"/>
              <w:jc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310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napToGrid/>
              <w:spacing w:after="0"/>
              <w:jc w:val="center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spacing w:after="0" w:line="480" w:lineRule="auto"/>
        <w:rPr>
          <w:rFonts w:ascii="Times New Roman" w:hAnsi="Times New Roman" w:eastAsia="Times New Roman" w:cs="Times New Roman"/>
          <w:color w:val="auto"/>
          <w:sz w:val="21"/>
          <w:szCs w:val="21"/>
        </w:rPr>
      </w:pPr>
    </w:p>
    <w:p>
      <w:pPr>
        <w:spacing w:after="0" w:line="480" w:lineRule="auto"/>
        <w:rPr>
          <w:rFonts w:hint="default" w:ascii="Times New Roman" w:hAnsi="Times New Roman" w:eastAsia="Times New Roman" w:cs="Times New Roman"/>
          <w:color w:val="auto"/>
          <w:sz w:val="21"/>
          <w:szCs w:val="21"/>
          <w:lang w:val="en-US" w:eastAsia="zh-CN"/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ahoma">
    <w:panose1 w:val="020B0604030504040204"/>
    <w:charset w:val="00"/>
    <w:family w:val="swiss"/>
    <w:pitch w:val="default"/>
    <w:sig w:usb0="E1002AFF" w:usb1="C000605B" w:usb2="00000029" w:usb3="00000000" w:csb0="200101FF" w:csb1="2028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341C"/>
    <w:rsid w:val="001758DC"/>
    <w:rsid w:val="00203211"/>
    <w:rsid w:val="00252CF0"/>
    <w:rsid w:val="00281F2D"/>
    <w:rsid w:val="004102F7"/>
    <w:rsid w:val="0047430D"/>
    <w:rsid w:val="004C0AA5"/>
    <w:rsid w:val="004C0F65"/>
    <w:rsid w:val="005B5F3A"/>
    <w:rsid w:val="005B64AE"/>
    <w:rsid w:val="005C225E"/>
    <w:rsid w:val="005C666A"/>
    <w:rsid w:val="00623CA0"/>
    <w:rsid w:val="006268BB"/>
    <w:rsid w:val="0063242D"/>
    <w:rsid w:val="006535E1"/>
    <w:rsid w:val="00665853"/>
    <w:rsid w:val="00675F81"/>
    <w:rsid w:val="007A3AEA"/>
    <w:rsid w:val="00854285"/>
    <w:rsid w:val="00922BC9"/>
    <w:rsid w:val="00997DA8"/>
    <w:rsid w:val="00A16C99"/>
    <w:rsid w:val="00A76059"/>
    <w:rsid w:val="00B22B48"/>
    <w:rsid w:val="00B64394"/>
    <w:rsid w:val="00B67ECE"/>
    <w:rsid w:val="00C17217"/>
    <w:rsid w:val="00D3341C"/>
    <w:rsid w:val="00D37486"/>
    <w:rsid w:val="00D70C14"/>
    <w:rsid w:val="00DB289A"/>
    <w:rsid w:val="00DE075C"/>
    <w:rsid w:val="00DF2D35"/>
    <w:rsid w:val="00E361E0"/>
    <w:rsid w:val="00EE0B24"/>
    <w:rsid w:val="5E8D10C5"/>
    <w:rsid w:val="B7DF3584"/>
    <w:rsid w:val="BFB5B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napToGrid w:val="0"/>
      <w:spacing w:after="200"/>
    </w:pPr>
    <w:rPr>
      <w:rFonts w:ascii="Tahoma" w:hAnsi="Tahoma" w:eastAsia="Tahoma" w:cs="Tahoma"/>
      <w:kern w:val="0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172</Words>
  <Characters>984</Characters>
  <Lines>8</Lines>
  <Paragraphs>2</Paragraphs>
  <TotalTime>1</TotalTime>
  <ScaleCrop>false</ScaleCrop>
  <LinksUpToDate>false</LinksUpToDate>
  <CharactersWithSpaces>1154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2021-06-30T22:30:00Z</dcterms:created>
  <dc:creator>Hao qinggang</dc:creator>
  <cp:lastModifiedBy>~苹果~泡泡~</cp:lastModifiedBy>
  <dcterms:modified xsi:type="dcterms:W3CDTF">2024-05-01T03:46:59Z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95F0DE6A317A442DB87A467BCB849C78</vt:lpwstr>
  </property>
</Properties>
</file>