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F5A" w:rsidRPr="00BB4D99" w:rsidRDefault="00E75F5A" w:rsidP="00E75F5A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B4D99">
        <w:rPr>
          <w:rFonts w:ascii="Times New Roman" w:hAnsi="Times New Roman" w:cs="Times New Roman"/>
          <w:b/>
          <w:sz w:val="20"/>
          <w:szCs w:val="20"/>
        </w:rPr>
        <w:t>Table 1. Clinical and Demographic Data of the Patients</w:t>
      </w:r>
    </w:p>
    <w:tbl>
      <w:tblPr>
        <w:tblStyle w:val="OrtaListe1"/>
        <w:tblpPr w:leftFromText="141" w:rightFromText="141" w:vertAnchor="page" w:horzAnchor="margin" w:tblpX="-284" w:tblpY="2129"/>
        <w:tblW w:w="9356" w:type="dxa"/>
        <w:tblLook w:val="04A0" w:firstRow="1" w:lastRow="0" w:firstColumn="1" w:lastColumn="0" w:noHBand="0" w:noVBand="1"/>
      </w:tblPr>
      <w:tblGrid>
        <w:gridCol w:w="2562"/>
        <w:gridCol w:w="2277"/>
        <w:gridCol w:w="2265"/>
        <w:gridCol w:w="2252"/>
      </w:tblGrid>
      <w:tr w:rsidR="00E75F5A" w:rsidRPr="00BB4D99" w:rsidTr="00E75F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71.6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44,6±13,8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44 (16-</w:t>
            </w:r>
            <w:bookmarkStart w:id="0" w:name="_GoBack"/>
            <w:bookmarkEnd w:id="0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78)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Comorbidity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55.2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44.8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ASA Score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24.6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69.4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vMerge w:val="restart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Previous abscess drainage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71.6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vMerge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Sphincter relation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Intersphincteric</w:t>
            </w:r>
            <w:proofErr w:type="spellEnd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Transsphincteric</w:t>
            </w:r>
            <w:proofErr w:type="spellEnd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25.0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Tract length (mm)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39,7±22,1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36 (5-120)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Tract thickness (mm)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3,55±1,6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 (1-10)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Number of tracts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1,12±0,4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 (1-3)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Abscess 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30.9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69.1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vMerge w:val="restart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Perifistular</w:t>
            </w:r>
            <w:proofErr w:type="spellEnd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 inflammation</w:t>
            </w:r>
          </w:p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Yes 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52.5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vMerge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47.5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vMerge w:val="restart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Perop</w:t>
            </w:r>
            <w:proofErr w:type="spellEnd"/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 inner mouth availability</w:t>
            </w:r>
          </w:p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21.4</w:t>
            </w:r>
          </w:p>
        </w:tc>
      </w:tr>
      <w:tr w:rsidR="00E75F5A" w:rsidRPr="00BB4D99" w:rsidTr="00E75F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vMerge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78.6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Length of hospital stay (days)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1,28±0,5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 (1-4)</w:t>
            </w:r>
          </w:p>
        </w:tc>
      </w:tr>
      <w:tr w:rsidR="00E75F5A" w:rsidRPr="00BB4D99" w:rsidTr="00E75F5A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Relapse </w:t>
            </w: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24.6</w:t>
            </w:r>
          </w:p>
        </w:tc>
      </w:tr>
      <w:tr w:rsidR="00E75F5A" w:rsidRPr="00BB4D99" w:rsidTr="00E75F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</w:tcPr>
          <w:p w:rsidR="00E75F5A" w:rsidRPr="00BB4D99" w:rsidRDefault="00E75F5A" w:rsidP="00E75F5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7" w:type="dxa"/>
          </w:tcPr>
          <w:p w:rsidR="00E75F5A" w:rsidRPr="00BB4D99" w:rsidRDefault="00E75F5A" w:rsidP="00E75F5A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2265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252" w:type="dxa"/>
          </w:tcPr>
          <w:p w:rsidR="00E75F5A" w:rsidRPr="00BB4D99" w:rsidRDefault="00E75F5A" w:rsidP="00E75F5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B4D99">
              <w:rPr>
                <w:rFonts w:ascii="Times New Roman" w:hAnsi="Times New Roman" w:cs="Times New Roman"/>
                <w:sz w:val="20"/>
                <w:szCs w:val="20"/>
              </w:rPr>
              <w:t>75.4</w:t>
            </w:r>
          </w:p>
        </w:tc>
      </w:tr>
    </w:tbl>
    <w:p w:rsidR="00FA3DF0" w:rsidRDefault="00FA3DF0"/>
    <w:sectPr w:rsidR="00FA3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22"/>
    <w:rsid w:val="00E75F5A"/>
    <w:rsid w:val="00F93822"/>
    <w:rsid w:val="00FA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F6F50DE"/>
  <w15:chartTrackingRefBased/>
  <w15:docId w15:val="{37DF6AD6-AB95-472C-A45D-E35468B03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F5A"/>
    <w:pPr>
      <w:spacing w:after="200" w:line="276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OrtaListe1">
    <w:name w:val="Medium List 1"/>
    <w:basedOn w:val="NormalTablo"/>
    <w:uiPriority w:val="65"/>
    <w:rsid w:val="00E75F5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Eru</dc:creator>
  <cp:keywords/>
  <dc:description/>
  <cp:lastModifiedBy>Eru</cp:lastModifiedBy>
  <cp:revision>2</cp:revision>
  <dcterms:created xsi:type="dcterms:W3CDTF">2024-04-04T06:14:00Z</dcterms:created>
  <dcterms:modified xsi:type="dcterms:W3CDTF">2024-04-04T06:15:00Z</dcterms:modified>
</cp:coreProperties>
</file>