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EA7DF" w14:textId="77777777" w:rsidR="00293EA8" w:rsidRPr="009164D2" w:rsidRDefault="00293EA8" w:rsidP="00293EA8">
      <w:pPr>
        <w:spacing w:line="48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9164D2">
        <w:rPr>
          <w:rFonts w:ascii="Times New Roman" w:hAnsi="Times New Roman" w:cs="Times New Roman"/>
          <w:b/>
          <w:sz w:val="20"/>
          <w:szCs w:val="20"/>
          <w:lang w:val="en-US"/>
        </w:rPr>
        <w:t>Table 1:</w:t>
      </w:r>
    </w:p>
    <w:p w14:paraId="2E4B098D" w14:textId="77777777" w:rsidR="00293EA8" w:rsidRPr="009164D2" w:rsidRDefault="00293EA8" w:rsidP="00293EA8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9164D2">
        <w:rPr>
          <w:rFonts w:ascii="Times New Roman" w:hAnsi="Times New Roman" w:cs="Times New Roman"/>
          <w:noProof/>
          <w:sz w:val="20"/>
          <w:szCs w:val="20"/>
          <w:lang w:val="de-DE" w:eastAsia="de-DE"/>
        </w:rPr>
        <w:drawing>
          <wp:inline distT="0" distB="0" distL="0" distR="0" wp14:anchorId="4BC36550" wp14:editId="22129E9B">
            <wp:extent cx="3712845" cy="2871470"/>
            <wp:effectExtent l="0" t="0" r="1905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2845" cy="2871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BA4383" w14:textId="77777777" w:rsidR="00293EA8" w:rsidRPr="003F47BF" w:rsidRDefault="00293EA8" w:rsidP="00293EA8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3F47BF">
        <w:rPr>
          <w:rFonts w:ascii="Times New Roman" w:hAnsi="Times New Roman" w:cs="Times New Roman"/>
          <w:sz w:val="20"/>
          <w:szCs w:val="20"/>
          <w:lang w:val="en-US"/>
        </w:rPr>
        <w:t>Nearly all types of ablation</w:t>
      </w:r>
      <w:r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3F47B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are</w:t>
      </w:r>
      <w:r w:rsidRPr="003F47BF">
        <w:rPr>
          <w:rFonts w:ascii="Times New Roman" w:hAnsi="Times New Roman" w:cs="Times New Roman"/>
          <w:sz w:val="20"/>
          <w:szCs w:val="20"/>
          <w:lang w:val="en-US"/>
        </w:rPr>
        <w:t xml:space="preserve"> done with the same frequency.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When opting for an implant-based reconstruction, it is performed in 64.9% with direct-to-implant. Under 20% of patients prefer flap reconstruction over an implant-based reconstruction. Not all patients who are reconstructed with an implant receive a mesh for stabilization.</w:t>
      </w:r>
    </w:p>
    <w:p w14:paraId="77BCB188" w14:textId="77777777" w:rsidR="00293EA8" w:rsidRPr="009164D2" w:rsidRDefault="00293EA8" w:rsidP="00293EA8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9164D2">
        <w:rPr>
          <w:rFonts w:ascii="Times New Roman" w:hAnsi="Times New Roman" w:cs="Times New Roman"/>
          <w:sz w:val="20"/>
          <w:szCs w:val="20"/>
          <w:lang w:val="en-US"/>
        </w:rPr>
        <w:t>Abbreviations: MRM, modified radical mastectomy; SSM, skin-sparing mastectomy; NSM, nipple-sparing mastectomy; ADM, acellular dermal matrix; TRAM, transverse rectus abdominus myocutaneous; DIEP, deep inferior epigastric perforators; IGAP, inferior gluteal artery perforator.</w:t>
      </w:r>
    </w:p>
    <w:p w14:paraId="733F2B62" w14:textId="169D2BDF" w:rsidR="003A2514" w:rsidRPr="00293EA8" w:rsidRDefault="003A2514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sectPr w:rsidR="003A2514" w:rsidRPr="00293E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EA8"/>
    <w:rsid w:val="001B533D"/>
    <w:rsid w:val="00293EA8"/>
    <w:rsid w:val="003A2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834845"/>
  <w15:chartTrackingRefBased/>
  <w15:docId w15:val="{4733A16F-0C02-48D8-8579-534621540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3EA8"/>
    <w:rPr>
      <w:rFonts w:eastAsiaTheme="minorEastAsia"/>
      <w:kern w:val="0"/>
      <w:lang w:val="de-AT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532</Characters>
  <Application>Microsoft Office Word</Application>
  <DocSecurity>0</DocSecurity>
  <Lines>4</Lines>
  <Paragraphs>1</Paragraphs>
  <ScaleCrop>false</ScaleCrop>
  <Company>Springer Nature</Company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2024-05-03T09:24:00Z</dcterms:created>
  <dcterms:modified xsi:type="dcterms:W3CDTF">2024-05-03T09:25:00Z</dcterms:modified>
</cp:coreProperties>
</file>