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F6EE8" w14:textId="77777777" w:rsidR="00A36BD8" w:rsidRPr="007A7117" w:rsidRDefault="00A36BD8" w:rsidP="00A36BD8">
      <w:pPr>
        <w:pStyle w:val="Heading1"/>
        <w:rPr>
          <w:b w:val="0"/>
          <w:bCs w:val="0"/>
          <w:kern w:val="2"/>
          <w:szCs w:val="24"/>
        </w:rPr>
      </w:pPr>
      <w:r w:rsidRPr="007A7117">
        <w:rPr>
          <w:rFonts w:eastAsia="TimesLTStd-Roman"/>
          <w:kern w:val="0"/>
          <w:szCs w:val="24"/>
        </w:rPr>
        <w:t xml:space="preserve">Appendix </w:t>
      </w:r>
    </w:p>
    <w:p w14:paraId="54FE7F5D" w14:textId="77777777" w:rsidR="00A36BD8" w:rsidRPr="007A7117" w:rsidRDefault="00A36BD8" w:rsidP="00A36BD8">
      <w:pPr>
        <w:pStyle w:val="Heading2"/>
        <w:rPr>
          <w:rFonts w:eastAsia="TimesLTStd-Roman"/>
          <w:kern w:val="0"/>
          <w:szCs w:val="24"/>
        </w:rPr>
      </w:pPr>
      <w:r w:rsidRPr="007A7117">
        <w:rPr>
          <w:szCs w:val="24"/>
        </w:rPr>
        <w:t xml:space="preserve">Appendix Figure </w:t>
      </w:r>
    </w:p>
    <w:p w14:paraId="4268FEC2" w14:textId="77777777" w:rsidR="00A36BD8" w:rsidRPr="007A7117" w:rsidRDefault="00A36BD8" w:rsidP="00A36BD8">
      <w:pPr>
        <w:pStyle w:val="TableTitle"/>
      </w:pPr>
      <w:r w:rsidRPr="00CC62ED">
        <w:t xml:space="preserve">Appendix </w:t>
      </w:r>
      <w:r w:rsidRPr="007A7117">
        <w:t>Figure</w:t>
      </w:r>
      <w:r>
        <w:t xml:space="preserve"> 1. </w:t>
      </w:r>
      <w:r w:rsidRPr="007A7117">
        <w:t>Proportion of female leaders in different regions</w:t>
      </w:r>
    </w:p>
    <w:p w14:paraId="51022880" w14:textId="77777777" w:rsidR="00A36BD8" w:rsidRPr="007A7117" w:rsidRDefault="00A36BD8" w:rsidP="00A36BD8">
      <w:pPr>
        <w:autoSpaceDE w:val="0"/>
        <w:autoSpaceDN w:val="0"/>
        <w:adjustRightInd w:val="0"/>
        <w:jc w:val="center"/>
        <w:rPr>
          <w:rFonts w:eastAsia="TimesLTStd-Roman"/>
          <w:szCs w:val="24"/>
        </w:rPr>
      </w:pPr>
      <w:r w:rsidRPr="00EF5756">
        <w:rPr>
          <w:noProof/>
          <w:szCs w:val="24"/>
        </w:rPr>
        <w:drawing>
          <wp:inline distT="0" distB="0" distL="0" distR="0" wp14:anchorId="411AABCB" wp14:editId="373D749F">
            <wp:extent cx="5400000" cy="2742565"/>
            <wp:effectExtent l="0" t="0" r="10795" b="635"/>
            <wp:docPr id="12" name="图表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AD8900A" w14:textId="77777777" w:rsidR="00A36BD8" w:rsidRPr="007A7117" w:rsidRDefault="00A36BD8" w:rsidP="00A36BD8">
      <w:pPr>
        <w:rPr>
          <w:rFonts w:eastAsia="TimesLTStd-Roman"/>
          <w:szCs w:val="24"/>
        </w:rPr>
      </w:pPr>
    </w:p>
    <w:p w14:paraId="0A53548B" w14:textId="77777777" w:rsidR="001C76BA" w:rsidRDefault="001C76BA"/>
    <w:sectPr w:rsidR="001C76BA" w:rsidSect="001D7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Std-Roman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BD8"/>
    <w:rsid w:val="001C76BA"/>
    <w:rsid w:val="001D7852"/>
    <w:rsid w:val="00A3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23362"/>
  <w15:chartTrackingRefBased/>
  <w15:docId w15:val="{39F88BDD-BD08-460A-BE1C-DEFECDD1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BD8"/>
    <w:pPr>
      <w:widowControl w:val="0"/>
      <w:spacing w:after="0" w:line="480" w:lineRule="auto"/>
      <w:jc w:val="both"/>
    </w:pPr>
    <w:rPr>
      <w:rFonts w:ascii="Times New Roman" w:eastAsia="Times New Roman" w:hAnsi="Times New Roman" w:cs="Times New Roman"/>
      <w:sz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6BD8"/>
    <w:pPr>
      <w:keepNext/>
      <w:keepLines/>
      <w:jc w:val="center"/>
      <w:outlineLvl w:val="0"/>
    </w:pPr>
    <w:rPr>
      <w:b/>
      <w:bCs/>
      <w:caps/>
      <w:kern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6BD8"/>
    <w:pPr>
      <w:keepNext/>
      <w:keepLines/>
      <w:jc w:val="left"/>
      <w:outlineLvl w:val="1"/>
    </w:pPr>
    <w:rPr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BD8"/>
    <w:rPr>
      <w:rFonts w:ascii="Times New Roman" w:eastAsia="Times New Roman" w:hAnsi="Times New Roman" w:cs="Times New Roman"/>
      <w:b/>
      <w:bCs/>
      <w:caps/>
      <w:kern w:val="44"/>
      <w:sz w:val="24"/>
      <w:szCs w:val="44"/>
      <w:lang w:eastAsia="zh-C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36BD8"/>
    <w:rPr>
      <w:rFonts w:ascii="Times New Roman" w:eastAsia="Times New Roman" w:hAnsi="Times New Roman" w:cs="Times New Roman"/>
      <w:b/>
      <w:bCs/>
      <w:sz w:val="24"/>
      <w:szCs w:val="32"/>
      <w:lang w:eastAsia="zh-CN"/>
      <w14:ligatures w14:val="none"/>
    </w:rPr>
  </w:style>
  <w:style w:type="paragraph" w:customStyle="1" w:styleId="TableTitle">
    <w:name w:val="Table Title"/>
    <w:basedOn w:val="Normal"/>
    <w:link w:val="TableTitle0"/>
    <w:qFormat/>
    <w:rsid w:val="00A36BD8"/>
    <w:pPr>
      <w:jc w:val="left"/>
    </w:pPr>
    <w:rPr>
      <w:rFonts w:eastAsia="TimesLTStd-Roman"/>
      <w:b/>
      <w:szCs w:val="24"/>
    </w:rPr>
  </w:style>
  <w:style w:type="character" w:customStyle="1" w:styleId="TableTitle0">
    <w:name w:val="Table Title 字符"/>
    <w:basedOn w:val="DefaultParagraphFont"/>
    <w:link w:val="TableTitle"/>
    <w:rsid w:val="00A36BD8"/>
    <w:rPr>
      <w:rFonts w:ascii="Times New Roman" w:eastAsia="TimesLTStd-Roman" w:hAnsi="Times New Roman" w:cs="Times New Roman"/>
      <w:b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E:\papers\organizational_grease\2021_New\Tables_Dec2620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Figure_1!$Q$59</c:f>
              <c:strCache>
                <c:ptCount val="1"/>
                <c:pt idx="0">
                  <c:v>East</c:v>
                </c:pt>
              </c:strCache>
            </c:strRef>
          </c:tx>
          <c:spPr>
            <a:ln w="9525" cap="rnd">
              <a:solidFill>
                <a:schemeClr val="accent1">
                  <a:alpha val="50000"/>
                </a:schemeClr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lt1"/>
              </a:solidFill>
              <a:ln w="15875">
                <a:solidFill>
                  <a:schemeClr val="accent1"/>
                </a:solidFill>
                <a:round/>
              </a:ln>
              <a:effectLst/>
            </c:spPr>
          </c:marker>
          <c:xVal>
            <c:numRef>
              <c:f>Figure_1!$P$60:$P$80</c:f>
              <c:numCache>
                <c:formatCode>General</c:formatCode>
                <c:ptCount val="21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  <c:pt idx="20">
                  <c:v>2015</c:v>
                </c:pt>
              </c:numCache>
            </c:numRef>
          </c:xVal>
          <c:yVal>
            <c:numRef>
              <c:f>Figure_1!$Q$60:$Q$80</c:f>
              <c:numCache>
                <c:formatCode>0.0%</c:formatCode>
                <c:ptCount val="21"/>
                <c:pt idx="0">
                  <c:v>5.7142859999999997E-2</c:v>
                </c:pt>
                <c:pt idx="1">
                  <c:v>5.1282050000000003E-2</c:v>
                </c:pt>
                <c:pt idx="2">
                  <c:v>6.976744E-2</c:v>
                </c:pt>
                <c:pt idx="3">
                  <c:v>6.7796609999999993E-2</c:v>
                </c:pt>
                <c:pt idx="4">
                  <c:v>5.8823529999999999E-2</c:v>
                </c:pt>
                <c:pt idx="5">
                  <c:v>6.097561E-2</c:v>
                </c:pt>
                <c:pt idx="6">
                  <c:v>5.9523810000000003E-2</c:v>
                </c:pt>
                <c:pt idx="7">
                  <c:v>5.9523810000000003E-2</c:v>
                </c:pt>
                <c:pt idx="8">
                  <c:v>4.7619050000000003E-2</c:v>
                </c:pt>
                <c:pt idx="9">
                  <c:v>5.9523810000000003E-2</c:v>
                </c:pt>
                <c:pt idx="10">
                  <c:v>5.9523810000000003E-2</c:v>
                </c:pt>
                <c:pt idx="11">
                  <c:v>8.3333329999999997E-2</c:v>
                </c:pt>
                <c:pt idx="12">
                  <c:v>9.5238100000000006E-2</c:v>
                </c:pt>
                <c:pt idx="13">
                  <c:v>9.5238100000000006E-2</c:v>
                </c:pt>
                <c:pt idx="14">
                  <c:v>9.5238100000000006E-2</c:v>
                </c:pt>
                <c:pt idx="15">
                  <c:v>8.3333329999999997E-2</c:v>
                </c:pt>
                <c:pt idx="16">
                  <c:v>0.1125</c:v>
                </c:pt>
                <c:pt idx="17">
                  <c:v>0.1097561</c:v>
                </c:pt>
                <c:pt idx="18">
                  <c:v>0.14457830999999999</c:v>
                </c:pt>
                <c:pt idx="19">
                  <c:v>0.14814815000000001</c:v>
                </c:pt>
                <c:pt idx="20">
                  <c:v>0.11538461999999999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57C-4276-B03D-3817D6E5B9B2}"/>
            </c:ext>
          </c:extLst>
        </c:ser>
        <c:ser>
          <c:idx val="1"/>
          <c:order val="1"/>
          <c:tx>
            <c:strRef>
              <c:f>Figure_1!$R$59</c:f>
              <c:strCache>
                <c:ptCount val="1"/>
                <c:pt idx="0">
                  <c:v>Middle</c:v>
                </c:pt>
              </c:strCache>
            </c:strRef>
          </c:tx>
          <c:spPr>
            <a:ln w="9525" cap="rnd">
              <a:solidFill>
                <a:schemeClr val="accent2">
                  <a:alpha val="50000"/>
                </a:schemeClr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lt1"/>
              </a:solidFill>
              <a:ln w="15875">
                <a:solidFill>
                  <a:schemeClr val="accent2"/>
                </a:solidFill>
                <a:round/>
              </a:ln>
              <a:effectLst/>
            </c:spPr>
          </c:marker>
          <c:xVal>
            <c:numRef>
              <c:f>Figure_1!$P$60:$P$80</c:f>
              <c:numCache>
                <c:formatCode>General</c:formatCode>
                <c:ptCount val="21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  <c:pt idx="20">
                  <c:v>2015</c:v>
                </c:pt>
              </c:numCache>
            </c:numRef>
          </c:xVal>
          <c:yVal>
            <c:numRef>
              <c:f>Figure_1!$R$60:$R$80</c:f>
              <c:numCache>
                <c:formatCode>0.0%</c:formatCode>
                <c:ptCount val="21"/>
                <c:pt idx="0">
                  <c:v>7.6923080000000005E-2</c:v>
                </c:pt>
                <c:pt idx="1">
                  <c:v>0.10526315999999999</c:v>
                </c:pt>
                <c:pt idx="2">
                  <c:v>7.6923080000000005E-2</c:v>
                </c:pt>
                <c:pt idx="3">
                  <c:v>0.13157895</c:v>
                </c:pt>
                <c:pt idx="4">
                  <c:v>0.11111111</c:v>
                </c:pt>
                <c:pt idx="5">
                  <c:v>6.25E-2</c:v>
                </c:pt>
                <c:pt idx="6">
                  <c:v>4.8780490000000003E-2</c:v>
                </c:pt>
                <c:pt idx="7">
                  <c:v>3.6144580000000003E-2</c:v>
                </c:pt>
                <c:pt idx="8">
                  <c:v>4.7619050000000003E-2</c:v>
                </c:pt>
                <c:pt idx="9">
                  <c:v>7.1428569999999997E-2</c:v>
                </c:pt>
                <c:pt idx="10">
                  <c:v>7.1428569999999997E-2</c:v>
                </c:pt>
                <c:pt idx="11">
                  <c:v>8.3333329999999997E-2</c:v>
                </c:pt>
                <c:pt idx="12">
                  <c:v>0.11904762000000001</c:v>
                </c:pt>
                <c:pt idx="13">
                  <c:v>0.11904762000000001</c:v>
                </c:pt>
                <c:pt idx="14">
                  <c:v>0.10714286000000001</c:v>
                </c:pt>
                <c:pt idx="15">
                  <c:v>0.12048193</c:v>
                </c:pt>
                <c:pt idx="16">
                  <c:v>0.125</c:v>
                </c:pt>
                <c:pt idx="17">
                  <c:v>0.13924051000000001</c:v>
                </c:pt>
                <c:pt idx="18">
                  <c:v>0.125</c:v>
                </c:pt>
                <c:pt idx="19">
                  <c:v>0.15068492999999999</c:v>
                </c:pt>
                <c:pt idx="20">
                  <c:v>0.13513513999999999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57C-4276-B03D-3817D6E5B9B2}"/>
            </c:ext>
          </c:extLst>
        </c:ser>
        <c:ser>
          <c:idx val="2"/>
          <c:order val="2"/>
          <c:tx>
            <c:strRef>
              <c:f>Figure_1!$S$59</c:f>
              <c:strCache>
                <c:ptCount val="1"/>
                <c:pt idx="0">
                  <c:v>West</c:v>
                </c:pt>
              </c:strCache>
            </c:strRef>
          </c:tx>
          <c:spPr>
            <a:ln w="9525" cap="rnd">
              <a:solidFill>
                <a:schemeClr val="accent3">
                  <a:alpha val="50000"/>
                </a:schemeClr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lt1"/>
              </a:solidFill>
              <a:ln w="15875">
                <a:solidFill>
                  <a:schemeClr val="accent3"/>
                </a:solidFill>
                <a:round/>
              </a:ln>
              <a:effectLst/>
            </c:spPr>
          </c:marker>
          <c:xVal>
            <c:numRef>
              <c:f>Figure_1!$P$60:$P$80</c:f>
              <c:numCache>
                <c:formatCode>General</c:formatCode>
                <c:ptCount val="21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  <c:pt idx="20">
                  <c:v>2015</c:v>
                </c:pt>
              </c:numCache>
            </c:numRef>
          </c:xVal>
          <c:yVal>
            <c:numRef>
              <c:f>Figure_1!$S$60:$S$80</c:f>
              <c:numCache>
                <c:formatCode>0.0%</c:formatCode>
                <c:ptCount val="2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2.4390240000000001E-2</c:v>
                </c:pt>
                <c:pt idx="5">
                  <c:v>6.7415729999999993E-2</c:v>
                </c:pt>
                <c:pt idx="6">
                  <c:v>3.9603960000000001E-2</c:v>
                </c:pt>
                <c:pt idx="7">
                  <c:v>2.8037380000000001E-2</c:v>
                </c:pt>
                <c:pt idx="8">
                  <c:v>3.4188030000000001E-2</c:v>
                </c:pt>
                <c:pt idx="9">
                  <c:v>5.7851239999999998E-2</c:v>
                </c:pt>
                <c:pt idx="10">
                  <c:v>5.6910570000000001E-2</c:v>
                </c:pt>
                <c:pt idx="11">
                  <c:v>4.0322579999999997E-2</c:v>
                </c:pt>
                <c:pt idx="12">
                  <c:v>5.5555559999999997E-2</c:v>
                </c:pt>
                <c:pt idx="13">
                  <c:v>5.5118109999999998E-2</c:v>
                </c:pt>
                <c:pt idx="14">
                  <c:v>7.0866139999999994E-2</c:v>
                </c:pt>
                <c:pt idx="15">
                  <c:v>8.6614170000000004E-2</c:v>
                </c:pt>
                <c:pt idx="16">
                  <c:v>8.9430889999999999E-2</c:v>
                </c:pt>
                <c:pt idx="17">
                  <c:v>0.10569106</c:v>
                </c:pt>
                <c:pt idx="18">
                  <c:v>0.125</c:v>
                </c:pt>
                <c:pt idx="19">
                  <c:v>0.15384614999999999</c:v>
                </c:pt>
                <c:pt idx="20">
                  <c:v>0.14772726999999999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57C-4276-B03D-3817D6E5B9B2}"/>
            </c:ext>
          </c:extLst>
        </c:ser>
        <c:ser>
          <c:idx val="3"/>
          <c:order val="3"/>
          <c:tx>
            <c:strRef>
              <c:f>Figure_1!$T$59</c:f>
              <c:strCache>
                <c:ptCount val="1"/>
                <c:pt idx="0">
                  <c:v>Northeast</c:v>
                </c:pt>
              </c:strCache>
            </c:strRef>
          </c:tx>
          <c:spPr>
            <a:ln w="9525" cap="rnd">
              <a:solidFill>
                <a:schemeClr val="accent4">
                  <a:alpha val="50000"/>
                </a:schemeClr>
              </a:solidFill>
              <a:round/>
            </a:ln>
            <a:effectLst/>
          </c:spPr>
          <c:marker>
            <c:symbol val="x"/>
            <c:size val="6"/>
            <c:spPr>
              <a:noFill/>
              <a:ln w="15875">
                <a:solidFill>
                  <a:schemeClr val="accent4"/>
                </a:solidFill>
                <a:round/>
              </a:ln>
              <a:effectLst/>
            </c:spPr>
          </c:marker>
          <c:xVal>
            <c:numRef>
              <c:f>Figure_1!$P$60:$P$80</c:f>
              <c:numCache>
                <c:formatCode>General</c:formatCode>
                <c:ptCount val="21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  <c:pt idx="20">
                  <c:v>2015</c:v>
                </c:pt>
              </c:numCache>
            </c:numRef>
          </c:xVal>
          <c:yVal>
            <c:numRef>
              <c:f>Figure_1!$T$60:$T$80</c:f>
              <c:numCache>
                <c:formatCode>0.0%</c:formatCode>
                <c:ptCount val="2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4.7619050000000003E-2</c:v>
                </c:pt>
                <c:pt idx="5">
                  <c:v>3.125E-2</c:v>
                </c:pt>
                <c:pt idx="6">
                  <c:v>2.9411759999999999E-2</c:v>
                </c:pt>
                <c:pt idx="7">
                  <c:v>5.7142859999999997E-2</c:v>
                </c:pt>
                <c:pt idx="8">
                  <c:v>0.11111111</c:v>
                </c:pt>
                <c:pt idx="9">
                  <c:v>0.11111111</c:v>
                </c:pt>
                <c:pt idx="10">
                  <c:v>0.11111111</c:v>
                </c:pt>
                <c:pt idx="11">
                  <c:v>8.3333329999999997E-2</c:v>
                </c:pt>
                <c:pt idx="12">
                  <c:v>5.5555559999999997E-2</c:v>
                </c:pt>
                <c:pt idx="13">
                  <c:v>5.5555559999999997E-2</c:v>
                </c:pt>
                <c:pt idx="14">
                  <c:v>5.7142859999999997E-2</c:v>
                </c:pt>
                <c:pt idx="15">
                  <c:v>5.7142859999999997E-2</c:v>
                </c:pt>
                <c:pt idx="16">
                  <c:v>8.5714289999999999E-2</c:v>
                </c:pt>
                <c:pt idx="17">
                  <c:v>8.3333329999999997E-2</c:v>
                </c:pt>
                <c:pt idx="18">
                  <c:v>8.3333329999999997E-2</c:v>
                </c:pt>
                <c:pt idx="19">
                  <c:v>0.14705882000000001</c:v>
                </c:pt>
                <c:pt idx="20">
                  <c:v>0.11428571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A57C-4276-B03D-3817D6E5B9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71351600"/>
        <c:axId val="1875611520"/>
      </c:scatterChart>
      <c:valAx>
        <c:axId val="1871351600"/>
        <c:scaling>
          <c:orientation val="minMax"/>
          <c:max val="2015"/>
          <c:min val="1995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75611520"/>
        <c:crosses val="autoZero"/>
        <c:crossBetween val="midCat"/>
      </c:valAx>
      <c:valAx>
        <c:axId val="1875611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71351600"/>
        <c:crosses val="autoZero"/>
        <c:crossBetween val="midCat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SpringerNature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2024-04-25T03:54:00Z</dcterms:created>
  <dcterms:modified xsi:type="dcterms:W3CDTF">2024-04-25T03:55:00Z</dcterms:modified>
</cp:coreProperties>
</file>