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404C" w:rsidRPr="009032AB" w:rsidRDefault="00A80369" w:rsidP="009032AB">
      <w:pPr>
        <w:jc w:val="left"/>
      </w:pPr>
      <w:r>
        <w:t>Supplementary Table S</w:t>
      </w:r>
      <w:r>
        <w:t>2</w:t>
      </w:r>
      <w:r w:rsidR="00BC1FA6" w:rsidRPr="009032AB">
        <w:t>:</w:t>
      </w:r>
      <w:r w:rsidR="00174DAB" w:rsidRPr="009032AB">
        <w:t xml:space="preserve"> Criteria of neurotoxicity according to the NCI-CTCAE ver. </w:t>
      </w:r>
      <w:r w:rsidR="009032AB">
        <w:rPr>
          <w:rFonts w:hint="eastAsia"/>
        </w:rPr>
        <w:t>4</w:t>
      </w:r>
      <w:r w:rsidR="00174DAB" w:rsidRPr="009032AB">
        <w:t>.0 and DEB-NTC scales</w:t>
      </w:r>
      <w:r w:rsidR="002807BB">
        <w:t xml:space="preserve"> </w:t>
      </w:r>
      <w:r w:rsidR="00CC404C" w:rsidRPr="009032AB">
        <w:fldChar w:fldCharType="begin">
          <w:fldData xml:space="preserve">PEVuZE5vdGU+PENpdGU+PEF1dGhvcj5Jbm91ZTwvQXV0aG9yPjxZZWFyPjIwMTI8L1llYXI+PFJl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</w:fldData>
        </w:fldChar>
      </w:r>
      <w:r w:rsidR="00286F20">
        <w:instrText xml:space="preserve"> ADDIN EN.CITE </w:instrText>
      </w:r>
      <w:r w:rsidR="00286F20">
        <w:fldChar w:fldCharType="begin">
          <w:fldData xml:space="preserve">PEVuZE5vdGU+PENpdGU+PEF1dGhvcj5Jbm91ZTwvQXV0aG9yPjxZZWFyPjIwMTI8L1llYXI+PFJl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</w:fldData>
        </w:fldChar>
      </w:r>
      <w:r w:rsidR="00286F20">
        <w:instrText xml:space="preserve"> ADDIN EN.CITE.DATA </w:instrText>
      </w:r>
      <w:r w:rsidR="00286F20">
        <w:fldChar w:fldCharType="end"/>
      </w:r>
      <w:r w:rsidR="00CC404C" w:rsidRPr="009032AB">
        <w:fldChar w:fldCharType="separate"/>
      </w:r>
      <w:r w:rsidR="00286F20">
        <w:rPr>
          <w:noProof/>
        </w:rPr>
        <w:t>[</w:t>
      </w:r>
      <w:hyperlink w:anchor="_ENREF_1" w:tooltip="Inoue, 2012 #1146" w:history="1">
        <w:r w:rsidR="00286F20">
          <w:rPr>
            <w:noProof/>
          </w:rPr>
          <w:t>1</w:t>
        </w:r>
      </w:hyperlink>
      <w:r w:rsidR="00286F20">
        <w:rPr>
          <w:noProof/>
        </w:rPr>
        <w:t>]</w:t>
      </w:r>
      <w:r w:rsidR="00CC404C" w:rsidRPr="009032AB">
        <w:fldChar w:fldCharType="end"/>
      </w:r>
      <w:bookmarkStart w:id="0" w:name="_GoBack"/>
      <w:bookmarkEnd w:id="0"/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46"/>
        <w:gridCol w:w="4684"/>
        <w:gridCol w:w="2766"/>
      </w:tblGrid>
      <w:tr w:rsidR="009032AB" w:rsidRPr="009032AB" w:rsidTr="00A22C09">
        <w:tc>
          <w:tcPr>
            <w:tcW w:w="846" w:type="dxa"/>
          </w:tcPr>
          <w:p w:rsidR="00CC404C" w:rsidRPr="009032AB" w:rsidRDefault="00CC404C" w:rsidP="009032AB">
            <w:pPr>
              <w:jc w:val="left"/>
            </w:pPr>
            <w:r w:rsidRPr="009032AB">
              <w:t>Grade</w:t>
            </w:r>
          </w:p>
        </w:tc>
        <w:tc>
          <w:tcPr>
            <w:tcW w:w="4684" w:type="dxa"/>
          </w:tcPr>
          <w:p w:rsidR="00CC404C" w:rsidRPr="009032AB" w:rsidRDefault="00CC404C" w:rsidP="009032AB">
            <w:pPr>
              <w:jc w:val="left"/>
            </w:pPr>
            <w:r w:rsidRPr="009032AB">
              <w:t>NCI-CTCAE</w:t>
            </w:r>
          </w:p>
        </w:tc>
        <w:tc>
          <w:tcPr>
            <w:tcW w:w="2766" w:type="dxa"/>
          </w:tcPr>
          <w:p w:rsidR="00CC404C" w:rsidRPr="009032AB" w:rsidRDefault="00CC404C" w:rsidP="009032AB">
            <w:pPr>
              <w:jc w:val="left"/>
            </w:pPr>
            <w:r w:rsidRPr="009032AB">
              <w:t>DEB-NTC</w:t>
            </w:r>
          </w:p>
        </w:tc>
      </w:tr>
      <w:tr w:rsidR="009032AB" w:rsidRPr="009032AB" w:rsidTr="00A22C09">
        <w:tc>
          <w:tcPr>
            <w:tcW w:w="846" w:type="dxa"/>
          </w:tcPr>
          <w:p w:rsidR="00CC404C" w:rsidRPr="009032AB" w:rsidRDefault="00CC404C" w:rsidP="009032AB">
            <w:pPr>
              <w:jc w:val="left"/>
            </w:pPr>
            <w:r w:rsidRPr="009032AB">
              <w:rPr>
                <w:rFonts w:hint="eastAsia"/>
              </w:rPr>
              <w:t>1</w:t>
            </w:r>
          </w:p>
        </w:tc>
        <w:tc>
          <w:tcPr>
            <w:tcW w:w="4684" w:type="dxa"/>
          </w:tcPr>
          <w:p w:rsidR="00CC404C" w:rsidRPr="009032AB" w:rsidRDefault="00A22C09" w:rsidP="009032AB">
            <w:pPr>
              <w:jc w:val="left"/>
            </w:pPr>
            <w:r w:rsidRPr="009032AB">
              <w:t xml:space="preserve">Asymptomatic; loss of deep tendon reflexes or paresthesia (including tingling), but not interfering with function </w:t>
            </w:r>
          </w:p>
        </w:tc>
        <w:tc>
          <w:tcPr>
            <w:tcW w:w="2766" w:type="dxa"/>
          </w:tcPr>
          <w:p w:rsidR="00CC404C" w:rsidRPr="009032AB" w:rsidRDefault="00A22C09" w:rsidP="009032AB">
            <w:pPr>
              <w:jc w:val="left"/>
            </w:pPr>
            <w:r w:rsidRPr="009032AB">
              <w:t>Within 7 days</w:t>
            </w:r>
          </w:p>
        </w:tc>
      </w:tr>
      <w:tr w:rsidR="009032AB" w:rsidRPr="009032AB" w:rsidTr="00A22C09">
        <w:tc>
          <w:tcPr>
            <w:tcW w:w="846" w:type="dxa"/>
          </w:tcPr>
          <w:p w:rsidR="00CC404C" w:rsidRPr="009032AB" w:rsidRDefault="00CC404C" w:rsidP="009032AB">
            <w:pPr>
              <w:jc w:val="left"/>
            </w:pPr>
            <w:r w:rsidRPr="009032AB">
              <w:rPr>
                <w:rFonts w:hint="eastAsia"/>
              </w:rPr>
              <w:t>2</w:t>
            </w:r>
          </w:p>
        </w:tc>
        <w:tc>
          <w:tcPr>
            <w:tcW w:w="4684" w:type="dxa"/>
          </w:tcPr>
          <w:p w:rsidR="00CC404C" w:rsidRPr="009032AB" w:rsidRDefault="00A22C09" w:rsidP="009032AB">
            <w:pPr>
              <w:jc w:val="left"/>
            </w:pPr>
            <w:r w:rsidRPr="009032AB">
              <w:t xml:space="preserve">Sensory alteration or paresthesia (including tingling) interfering with function, but not interfering with ADL </w:t>
            </w:r>
          </w:p>
        </w:tc>
        <w:tc>
          <w:tcPr>
            <w:tcW w:w="2766" w:type="dxa"/>
          </w:tcPr>
          <w:p w:rsidR="00CC404C" w:rsidRPr="009032AB" w:rsidRDefault="00A22C09" w:rsidP="009032AB">
            <w:pPr>
              <w:jc w:val="left"/>
            </w:pPr>
            <w:r w:rsidRPr="009032AB">
              <w:t>More than 7 days</w:t>
            </w:r>
          </w:p>
        </w:tc>
      </w:tr>
      <w:tr w:rsidR="009032AB" w:rsidRPr="009032AB" w:rsidTr="00A22C09">
        <w:tc>
          <w:tcPr>
            <w:tcW w:w="846" w:type="dxa"/>
          </w:tcPr>
          <w:p w:rsidR="00CC404C" w:rsidRPr="009032AB" w:rsidRDefault="00CC404C" w:rsidP="009032AB">
            <w:pPr>
              <w:jc w:val="left"/>
            </w:pPr>
            <w:r w:rsidRPr="009032AB">
              <w:rPr>
                <w:rFonts w:hint="eastAsia"/>
              </w:rPr>
              <w:t>3</w:t>
            </w:r>
          </w:p>
        </w:tc>
        <w:tc>
          <w:tcPr>
            <w:tcW w:w="4684" w:type="dxa"/>
          </w:tcPr>
          <w:p w:rsidR="00CC404C" w:rsidRPr="009032AB" w:rsidRDefault="00A22C09" w:rsidP="009032AB">
            <w:pPr>
              <w:jc w:val="left"/>
            </w:pPr>
            <w:r w:rsidRPr="009032AB">
              <w:t>Sensory alteration or paresthesia interfering with ADL</w:t>
            </w:r>
          </w:p>
        </w:tc>
        <w:tc>
          <w:tcPr>
            <w:tcW w:w="2766" w:type="dxa"/>
          </w:tcPr>
          <w:p w:rsidR="00CC404C" w:rsidRPr="009032AB" w:rsidRDefault="00A22C09" w:rsidP="009032AB">
            <w:pPr>
              <w:jc w:val="left"/>
            </w:pPr>
            <w:r w:rsidRPr="009032AB">
              <w:t>Functional impairment interfering with ADL</w:t>
            </w:r>
          </w:p>
        </w:tc>
      </w:tr>
      <w:tr w:rsidR="009032AB" w:rsidRPr="009032AB" w:rsidTr="00A22C09">
        <w:tc>
          <w:tcPr>
            <w:tcW w:w="846" w:type="dxa"/>
          </w:tcPr>
          <w:p w:rsidR="00CC404C" w:rsidRPr="009032AB" w:rsidRDefault="00CC404C" w:rsidP="009032AB">
            <w:pPr>
              <w:jc w:val="left"/>
            </w:pPr>
            <w:r w:rsidRPr="009032AB">
              <w:rPr>
                <w:rFonts w:hint="eastAsia"/>
              </w:rPr>
              <w:t>4</w:t>
            </w:r>
          </w:p>
        </w:tc>
        <w:tc>
          <w:tcPr>
            <w:tcW w:w="4684" w:type="dxa"/>
          </w:tcPr>
          <w:p w:rsidR="00CC404C" w:rsidRPr="009032AB" w:rsidRDefault="00A22C09" w:rsidP="009032AB">
            <w:pPr>
              <w:jc w:val="left"/>
            </w:pPr>
            <w:r w:rsidRPr="009032AB">
              <w:t xml:space="preserve">Disability </w:t>
            </w:r>
          </w:p>
        </w:tc>
        <w:tc>
          <w:tcPr>
            <w:tcW w:w="2766" w:type="dxa"/>
          </w:tcPr>
          <w:p w:rsidR="00CC404C" w:rsidRPr="009032AB" w:rsidRDefault="00A22C09" w:rsidP="009032AB">
            <w:pPr>
              <w:jc w:val="left"/>
            </w:pPr>
            <w:r w:rsidRPr="009032AB">
              <w:rPr>
                <w:rFonts w:hint="eastAsia"/>
              </w:rPr>
              <w:t>-</w:t>
            </w:r>
          </w:p>
        </w:tc>
      </w:tr>
      <w:tr w:rsidR="009032AB" w:rsidRPr="009032AB" w:rsidTr="00A22C09">
        <w:tc>
          <w:tcPr>
            <w:tcW w:w="846" w:type="dxa"/>
          </w:tcPr>
          <w:p w:rsidR="00CC404C" w:rsidRPr="009032AB" w:rsidRDefault="00CC404C" w:rsidP="009032AB">
            <w:pPr>
              <w:jc w:val="left"/>
            </w:pPr>
            <w:r w:rsidRPr="009032AB">
              <w:rPr>
                <w:rFonts w:hint="eastAsia"/>
              </w:rPr>
              <w:t>5</w:t>
            </w:r>
          </w:p>
        </w:tc>
        <w:tc>
          <w:tcPr>
            <w:tcW w:w="4684" w:type="dxa"/>
          </w:tcPr>
          <w:p w:rsidR="00CC404C" w:rsidRPr="009032AB" w:rsidRDefault="00A22C09" w:rsidP="009032AB">
            <w:pPr>
              <w:jc w:val="left"/>
            </w:pPr>
            <w:r w:rsidRPr="009032AB">
              <w:t>Death</w:t>
            </w:r>
          </w:p>
        </w:tc>
        <w:tc>
          <w:tcPr>
            <w:tcW w:w="2766" w:type="dxa"/>
          </w:tcPr>
          <w:p w:rsidR="00CC404C" w:rsidRPr="009032AB" w:rsidRDefault="00A22C09" w:rsidP="009032AB">
            <w:pPr>
              <w:jc w:val="left"/>
            </w:pPr>
            <w:r w:rsidRPr="009032AB">
              <w:rPr>
                <w:rFonts w:hint="eastAsia"/>
              </w:rPr>
              <w:t>-</w:t>
            </w:r>
          </w:p>
        </w:tc>
      </w:tr>
    </w:tbl>
    <w:p w:rsidR="00174DAB" w:rsidRPr="009032AB" w:rsidRDefault="00A22C09" w:rsidP="009032AB">
      <w:pPr>
        <w:jc w:val="left"/>
      </w:pPr>
      <w:r w:rsidRPr="009032AB">
        <w:t>ADL: activities of daily living</w:t>
      </w:r>
    </w:p>
    <w:p w:rsidR="00174DAB" w:rsidRPr="009032AB" w:rsidRDefault="00174DAB" w:rsidP="009032AB">
      <w:pPr>
        <w:jc w:val="left"/>
      </w:pPr>
    </w:p>
    <w:p w:rsidR="00CC404C" w:rsidRPr="009032AB" w:rsidRDefault="00CC404C" w:rsidP="009032AB">
      <w:pPr>
        <w:jc w:val="left"/>
      </w:pPr>
    </w:p>
    <w:p w:rsidR="00286F20" w:rsidRPr="00286F20" w:rsidRDefault="00CC404C" w:rsidP="00286F20">
      <w:pPr>
        <w:pStyle w:val="EndNoteBibliography"/>
        <w:ind w:left="720" w:hanging="720"/>
      </w:pPr>
      <w:r w:rsidRPr="009032AB">
        <w:fldChar w:fldCharType="begin"/>
      </w:r>
      <w:r w:rsidRPr="009032AB">
        <w:instrText xml:space="preserve"> ADDIN EN.REFLIST </w:instrText>
      </w:r>
      <w:r w:rsidRPr="009032AB">
        <w:fldChar w:fldCharType="separate"/>
      </w:r>
      <w:bookmarkStart w:id="1" w:name="_ENREF_1"/>
      <w:r w:rsidR="00286F20" w:rsidRPr="00286F20">
        <w:t>1.</w:t>
      </w:r>
      <w:r w:rsidR="00286F20" w:rsidRPr="00286F20">
        <w:tab/>
        <w:t xml:space="preserve">Inoue N, Ishida H, Sano M, Kishino T, Okada N, Kumamoto K, Ishibashi K: </w:t>
      </w:r>
      <w:r w:rsidR="00286F20" w:rsidRPr="00286F20">
        <w:rPr>
          <w:b/>
        </w:rPr>
        <w:t>Discrepancy between the NCI-CTCAE and DEB-NTC scales in the evaluation of oxaliplatin-related neurotoxicity in patients with metastatic colorectal cancer</w:t>
      </w:r>
      <w:r w:rsidR="00286F20" w:rsidRPr="00286F20">
        <w:t xml:space="preserve">. </w:t>
      </w:r>
      <w:r w:rsidR="00286F20" w:rsidRPr="00286F20">
        <w:rPr>
          <w:i/>
        </w:rPr>
        <w:t xml:space="preserve">International journal of clinical oncology </w:t>
      </w:r>
      <w:r w:rsidR="00286F20" w:rsidRPr="00286F20">
        <w:t xml:space="preserve">2012, </w:t>
      </w:r>
      <w:r w:rsidR="00286F20" w:rsidRPr="00286F20">
        <w:rPr>
          <w:b/>
        </w:rPr>
        <w:t>17</w:t>
      </w:r>
      <w:r w:rsidR="00286F20" w:rsidRPr="00286F20">
        <w:t>(4):341-347.</w:t>
      </w:r>
      <w:bookmarkEnd w:id="1"/>
    </w:p>
    <w:p w:rsidR="00BC1FA6" w:rsidRPr="009032AB" w:rsidRDefault="00CC404C" w:rsidP="009032AB">
      <w:pPr>
        <w:jc w:val="left"/>
      </w:pPr>
      <w:r w:rsidRPr="009032AB">
        <w:fldChar w:fldCharType="end"/>
      </w:r>
    </w:p>
    <w:sectPr w:rsidR="00BC1FA6" w:rsidRPr="009032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Cancer 复制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erfst59r99wswfe0sr8vvvx9t22av5ax2ss2&quot;&gt;GM1-已保存&lt;record-ids&gt;&lt;item&gt;1146&lt;/item&gt;&lt;/record-ids&gt;&lt;/item&gt;&lt;/Libraries&gt;"/>
  </w:docVars>
  <w:rsids>
    <w:rsidRoot w:val="00DF05A9"/>
    <w:rsid w:val="00174DAB"/>
    <w:rsid w:val="00225D78"/>
    <w:rsid w:val="002807BB"/>
    <w:rsid w:val="00286F20"/>
    <w:rsid w:val="002E6665"/>
    <w:rsid w:val="00520DB5"/>
    <w:rsid w:val="005C0D85"/>
    <w:rsid w:val="00604236"/>
    <w:rsid w:val="0062260D"/>
    <w:rsid w:val="00652B83"/>
    <w:rsid w:val="006A50B6"/>
    <w:rsid w:val="007A5DC6"/>
    <w:rsid w:val="008666C3"/>
    <w:rsid w:val="008B150A"/>
    <w:rsid w:val="009032AB"/>
    <w:rsid w:val="00955D0E"/>
    <w:rsid w:val="009A6216"/>
    <w:rsid w:val="00A152E5"/>
    <w:rsid w:val="00A22C09"/>
    <w:rsid w:val="00A60A81"/>
    <w:rsid w:val="00A80369"/>
    <w:rsid w:val="00B14472"/>
    <w:rsid w:val="00BC1FA6"/>
    <w:rsid w:val="00C53ECD"/>
    <w:rsid w:val="00CC404C"/>
    <w:rsid w:val="00D414D9"/>
    <w:rsid w:val="00DD7AD0"/>
    <w:rsid w:val="00DF05A9"/>
    <w:rsid w:val="00E517AE"/>
    <w:rsid w:val="00F20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897A62"/>
  <w15:chartTrackingRefBased/>
  <w15:docId w15:val="{A2CB64EC-09E0-4BE9-BAE9-D5722BDF7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5D78"/>
    <w:pPr>
      <w:widowControl w:val="0"/>
      <w:spacing w:line="360" w:lineRule="auto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55D0E"/>
    <w:rPr>
      <w:rFonts w:eastAsia="Times New Roman"/>
      <w:b/>
      <w:bCs/>
      <w:color w:val="0070C0"/>
      <w:sz w:val="21"/>
    </w:rPr>
  </w:style>
  <w:style w:type="table" w:styleId="a4">
    <w:name w:val="Table Grid"/>
    <w:basedOn w:val="a1"/>
    <w:uiPriority w:val="39"/>
    <w:rsid w:val="00DD7AD0"/>
    <w:rPr>
      <w:rFonts w:cs="Times New Roman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CC404C"/>
    <w:pPr>
      <w:jc w:val="center"/>
    </w:pPr>
    <w:rPr>
      <w:rFonts w:cs="Times New Roman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CC404C"/>
    <w:rPr>
      <w:rFonts w:cs="Times New Roman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CC404C"/>
    <w:pPr>
      <w:spacing w:line="240" w:lineRule="auto"/>
    </w:pPr>
    <w:rPr>
      <w:rFonts w:cs="Times New Roman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CC404C"/>
    <w:rPr>
      <w:rFonts w:cs="Times New Roman"/>
      <w:noProof/>
      <w:sz w:val="20"/>
    </w:rPr>
  </w:style>
  <w:style w:type="character" w:styleId="a5">
    <w:name w:val="Hyperlink"/>
    <w:basedOn w:val="a0"/>
    <w:uiPriority w:val="99"/>
    <w:unhideWhenUsed/>
    <w:rsid w:val="00CC404C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2807B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144</Words>
  <Characters>826</Characters>
  <Application>Microsoft Office Word</Application>
  <DocSecurity>0</DocSecurity>
  <Lines>6</Lines>
  <Paragraphs>1</Paragraphs>
  <ScaleCrop>false</ScaleCrop>
  <Company/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31</cp:revision>
  <dcterms:created xsi:type="dcterms:W3CDTF">2021-03-07T14:32:00Z</dcterms:created>
  <dcterms:modified xsi:type="dcterms:W3CDTF">2021-04-17T05:42:00Z</dcterms:modified>
</cp:coreProperties>
</file>