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98E89" w14:textId="07C8297F" w:rsidR="0041572E" w:rsidRPr="0041572E" w:rsidRDefault="0041572E" w:rsidP="00AD7189">
      <w:pPr>
        <w:jc w:val="center"/>
        <w:rPr>
          <w:rFonts w:ascii="Times New Roman" w:hAnsi="Times New Roman" w:cs="Times New Roman"/>
          <w:b/>
          <w:bCs/>
          <w:sz w:val="28"/>
          <w:szCs w:val="28"/>
          <w:u w:val="single"/>
        </w:rPr>
      </w:pPr>
      <w:r w:rsidRPr="0041572E">
        <w:rPr>
          <w:rFonts w:ascii="Times New Roman" w:hAnsi="Times New Roman" w:cs="Times New Roman"/>
          <w:b/>
          <w:bCs/>
          <w:sz w:val="28"/>
          <w:szCs w:val="28"/>
          <w:u w:val="single"/>
        </w:rPr>
        <w:t xml:space="preserve">Annexes </w:t>
      </w:r>
    </w:p>
    <w:p w14:paraId="0C38AC01" w14:textId="77777777" w:rsidR="0041572E" w:rsidRDefault="0041572E" w:rsidP="00AD7189">
      <w:pPr>
        <w:jc w:val="center"/>
        <w:rPr>
          <w:rFonts w:ascii="Times New Roman" w:hAnsi="Times New Roman" w:cs="Times New Roman"/>
          <w:b/>
          <w:bCs/>
          <w:sz w:val="24"/>
          <w:szCs w:val="24"/>
        </w:rPr>
      </w:pPr>
    </w:p>
    <w:p w14:paraId="21BA5A94" w14:textId="39DDC76E" w:rsidR="00DB7D05" w:rsidRPr="002E2A1E" w:rsidRDefault="00AD7189" w:rsidP="00AD7189">
      <w:pPr>
        <w:jc w:val="center"/>
        <w:rPr>
          <w:rFonts w:ascii="Times New Roman" w:hAnsi="Times New Roman" w:cs="Times New Roman"/>
          <w:b/>
          <w:bCs/>
          <w:color w:val="00B0F0"/>
          <w:sz w:val="24"/>
          <w:szCs w:val="24"/>
        </w:rPr>
      </w:pPr>
      <w:r w:rsidRPr="002E2A1E">
        <w:rPr>
          <w:rFonts w:ascii="Times New Roman" w:hAnsi="Times New Roman" w:cs="Times New Roman"/>
          <w:b/>
          <w:bCs/>
          <w:color w:val="00B0F0"/>
          <w:sz w:val="24"/>
          <w:szCs w:val="24"/>
        </w:rPr>
        <w:t xml:space="preserve">Annex 1: </w:t>
      </w:r>
      <w:r w:rsidR="00DB7D05" w:rsidRPr="002E2A1E">
        <w:rPr>
          <w:rFonts w:ascii="Times New Roman" w:hAnsi="Times New Roman" w:cs="Times New Roman"/>
          <w:b/>
          <w:bCs/>
          <w:color w:val="00B0F0"/>
          <w:sz w:val="24"/>
          <w:szCs w:val="24"/>
        </w:rPr>
        <w:t>ADMISSION CRITERIA FOR CHILDREN AND INFANTS WITH SEVERE ACUTE MALNUTRITION</w:t>
      </w:r>
    </w:p>
    <w:p w14:paraId="5D573BC0" w14:textId="77777777" w:rsidR="00DB7D05" w:rsidRDefault="00DB7D05" w:rsidP="00C464FC">
      <w:pPr>
        <w:rPr>
          <w:rFonts w:ascii="Times New Roman" w:hAnsi="Times New Roman" w:cs="Times New Roman"/>
          <w:b/>
          <w:bCs/>
          <w:sz w:val="24"/>
          <w:szCs w:val="24"/>
        </w:rPr>
      </w:pPr>
    </w:p>
    <w:p w14:paraId="701C8DFA" w14:textId="7019E9A9" w:rsidR="00C464FC" w:rsidRPr="00DB7D05" w:rsidRDefault="00AD7189" w:rsidP="00C464FC">
      <w:pPr>
        <w:rPr>
          <w:rFonts w:ascii="Times New Roman" w:hAnsi="Times New Roman" w:cs="Times New Roman"/>
          <w:b/>
          <w:bCs/>
          <w:sz w:val="24"/>
          <w:szCs w:val="24"/>
        </w:rPr>
      </w:pPr>
      <w:r>
        <w:rPr>
          <w:rFonts w:ascii="Times New Roman" w:hAnsi="Times New Roman" w:cs="Times New Roman"/>
          <w:b/>
          <w:bCs/>
          <w:sz w:val="24"/>
          <w:szCs w:val="24"/>
        </w:rPr>
        <w:t>1.</w:t>
      </w:r>
      <w:r w:rsidR="00C464FC" w:rsidRPr="00DB7D05">
        <w:rPr>
          <w:rFonts w:ascii="Times New Roman" w:hAnsi="Times New Roman" w:cs="Times New Roman"/>
          <w:b/>
          <w:bCs/>
          <w:sz w:val="24"/>
          <w:szCs w:val="24"/>
        </w:rPr>
        <w:t xml:space="preserve">1 Admission criteria for children aged </w:t>
      </w:r>
      <w:r w:rsidR="00C464FC" w:rsidRPr="0029297E">
        <w:rPr>
          <w:rFonts w:ascii="Times New Roman" w:hAnsi="Times New Roman" w:cs="Times New Roman"/>
          <w:b/>
          <w:bCs/>
          <w:sz w:val="24"/>
          <w:szCs w:val="24"/>
          <w:u w:val="single"/>
        </w:rPr>
        <w:t>6 months and older</w:t>
      </w:r>
      <w:r w:rsidR="00092774" w:rsidRPr="00DB7D05">
        <w:rPr>
          <w:rFonts w:ascii="Times New Roman" w:hAnsi="Times New Roman" w:cs="Times New Roman"/>
          <w:b/>
          <w:bCs/>
          <w:sz w:val="24"/>
          <w:szCs w:val="24"/>
        </w:rPr>
        <w:t xml:space="preserve">: </w:t>
      </w:r>
      <w:r w:rsidR="00C464FC" w:rsidRPr="00DB7D05">
        <w:rPr>
          <w:rFonts w:ascii="Times New Roman" w:hAnsi="Times New Roman" w:cs="Times New Roman"/>
          <w:b/>
          <w:bCs/>
          <w:sz w:val="24"/>
          <w:szCs w:val="24"/>
        </w:rPr>
        <w:t>Admission criteria for inpatient and outpatient care (over 6 months)</w:t>
      </w:r>
    </w:p>
    <w:tbl>
      <w:tblPr>
        <w:tblStyle w:val="TableGrid"/>
        <w:tblW w:w="0" w:type="auto"/>
        <w:tblLook w:val="04A0" w:firstRow="1" w:lastRow="0" w:firstColumn="1" w:lastColumn="0" w:noHBand="0" w:noVBand="1"/>
      </w:tblPr>
      <w:tblGrid>
        <w:gridCol w:w="4675"/>
        <w:gridCol w:w="4675"/>
      </w:tblGrid>
      <w:tr w:rsidR="00C464FC" w:rsidRPr="00DB7D05" w14:paraId="4B00B101" w14:textId="77777777" w:rsidTr="00AD42FD">
        <w:tc>
          <w:tcPr>
            <w:tcW w:w="9350" w:type="dxa"/>
            <w:gridSpan w:val="2"/>
          </w:tcPr>
          <w:p w14:paraId="0FBFC54C" w14:textId="053535B3" w:rsidR="00C464FC" w:rsidRPr="00DB7D05" w:rsidRDefault="00C464FC" w:rsidP="00092774">
            <w:pPr>
              <w:jc w:val="center"/>
              <w:rPr>
                <w:rFonts w:ascii="Times New Roman" w:hAnsi="Times New Roman" w:cs="Times New Roman"/>
                <w:b/>
                <w:bCs/>
                <w:sz w:val="24"/>
                <w:szCs w:val="24"/>
              </w:rPr>
            </w:pPr>
            <w:r w:rsidRPr="00DB7D05">
              <w:rPr>
                <w:rFonts w:ascii="Times New Roman" w:hAnsi="Times New Roman" w:cs="Times New Roman"/>
                <w:b/>
                <w:bCs/>
                <w:sz w:val="24"/>
                <w:szCs w:val="24"/>
              </w:rPr>
              <w:t>Children aged 6 months and older</w:t>
            </w:r>
          </w:p>
        </w:tc>
      </w:tr>
      <w:tr w:rsidR="00C464FC" w:rsidRPr="00DB7D05" w14:paraId="743DA876" w14:textId="77777777" w:rsidTr="00C464FC">
        <w:tc>
          <w:tcPr>
            <w:tcW w:w="4675" w:type="dxa"/>
          </w:tcPr>
          <w:p w14:paraId="29F36097" w14:textId="32081934" w:rsidR="00C464FC" w:rsidRPr="00DB7D05" w:rsidRDefault="00C464FC">
            <w:pPr>
              <w:rPr>
                <w:rFonts w:ascii="Times New Roman" w:hAnsi="Times New Roman" w:cs="Times New Roman"/>
                <w:sz w:val="24"/>
                <w:szCs w:val="24"/>
              </w:rPr>
            </w:pPr>
            <w:r w:rsidRPr="00AD7189">
              <w:rPr>
                <w:rFonts w:ascii="Times New Roman" w:hAnsi="Times New Roman" w:cs="Times New Roman"/>
                <w:b/>
                <w:bCs/>
                <w:sz w:val="24"/>
                <w:szCs w:val="24"/>
                <w:u w:val="single"/>
              </w:rPr>
              <w:t>Inpatient care</w:t>
            </w:r>
            <w:r w:rsidRPr="00DB7D05">
              <w:rPr>
                <w:rFonts w:ascii="Times New Roman" w:hAnsi="Times New Roman" w:cs="Times New Roman"/>
                <w:sz w:val="24"/>
                <w:szCs w:val="24"/>
              </w:rPr>
              <w:t xml:space="preserve"> for the management of severe acute malnutrition </w:t>
            </w:r>
            <w:r w:rsidRPr="00AD7189">
              <w:rPr>
                <w:rFonts w:ascii="Times New Roman" w:hAnsi="Times New Roman" w:cs="Times New Roman"/>
                <w:b/>
                <w:bCs/>
                <w:sz w:val="24"/>
                <w:szCs w:val="24"/>
                <w:u w:val="single"/>
              </w:rPr>
              <w:t>with medical complications</w:t>
            </w:r>
          </w:p>
        </w:tc>
        <w:tc>
          <w:tcPr>
            <w:tcW w:w="4675" w:type="dxa"/>
          </w:tcPr>
          <w:p w14:paraId="78CD3A2C" w14:textId="2E1B63CD" w:rsidR="00C464FC" w:rsidRPr="00DB7D05" w:rsidRDefault="00C464FC" w:rsidP="0029297E">
            <w:pPr>
              <w:rPr>
                <w:rFonts w:ascii="Times New Roman" w:hAnsi="Times New Roman" w:cs="Times New Roman"/>
                <w:sz w:val="24"/>
                <w:szCs w:val="24"/>
              </w:rPr>
            </w:pPr>
            <w:r w:rsidRPr="00AD7189">
              <w:rPr>
                <w:rFonts w:ascii="Times New Roman" w:hAnsi="Times New Roman" w:cs="Times New Roman"/>
                <w:b/>
                <w:bCs/>
                <w:sz w:val="24"/>
                <w:szCs w:val="24"/>
                <w:u w:val="single"/>
              </w:rPr>
              <w:t>Outpatient care</w:t>
            </w:r>
            <w:r w:rsidRPr="00DB7D05">
              <w:rPr>
                <w:rFonts w:ascii="Times New Roman" w:hAnsi="Times New Roman" w:cs="Times New Roman"/>
                <w:sz w:val="24"/>
                <w:szCs w:val="24"/>
              </w:rPr>
              <w:t xml:space="preserve"> for the management of severe acute malnutrition </w:t>
            </w:r>
            <w:r w:rsidRPr="00AD7189">
              <w:rPr>
                <w:rFonts w:ascii="Times New Roman" w:hAnsi="Times New Roman" w:cs="Times New Roman"/>
                <w:b/>
                <w:bCs/>
                <w:sz w:val="24"/>
                <w:szCs w:val="24"/>
                <w:u w:val="single"/>
              </w:rPr>
              <w:t>without medical complications</w:t>
            </w:r>
          </w:p>
        </w:tc>
      </w:tr>
      <w:tr w:rsidR="00C464FC" w:rsidRPr="00DB7D05" w14:paraId="020EB9D3" w14:textId="77777777" w:rsidTr="00C464FC">
        <w:tc>
          <w:tcPr>
            <w:tcW w:w="4675" w:type="dxa"/>
          </w:tcPr>
          <w:p w14:paraId="51408F25" w14:textId="77777777"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sz w:val="24"/>
                <w:szCs w:val="24"/>
              </w:rPr>
              <w:t>Bilateral pitting oedema +++</w:t>
            </w:r>
          </w:p>
          <w:p w14:paraId="5118FE90" w14:textId="399493E9"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b/>
                <w:bCs/>
                <w:sz w:val="24"/>
                <w:szCs w:val="24"/>
              </w:rPr>
              <w:t>or</w:t>
            </w:r>
            <w:r w:rsidRPr="00DB7D05">
              <w:rPr>
                <w:rFonts w:ascii="Times New Roman" w:hAnsi="Times New Roman" w:cs="Times New Roman"/>
                <w:sz w:val="24"/>
                <w:szCs w:val="24"/>
              </w:rPr>
              <w:t xml:space="preserve"> </w:t>
            </w:r>
            <w:proofErr w:type="spellStart"/>
            <w:r w:rsidRPr="00DB7D05">
              <w:rPr>
                <w:rFonts w:ascii="Times New Roman" w:hAnsi="Times New Roman" w:cs="Times New Roman"/>
                <w:sz w:val="24"/>
                <w:szCs w:val="24"/>
              </w:rPr>
              <w:t>marasmic</w:t>
            </w:r>
            <w:proofErr w:type="spellEnd"/>
            <w:r w:rsidRPr="00DB7D05">
              <w:rPr>
                <w:rFonts w:ascii="Times New Roman" w:hAnsi="Times New Roman" w:cs="Times New Roman"/>
                <w:sz w:val="24"/>
                <w:szCs w:val="24"/>
              </w:rPr>
              <w:t xml:space="preserve"> kwashiorkor: any bilateral pitting oedema with severe </w:t>
            </w:r>
            <w:proofErr w:type="spellStart"/>
            <w:r w:rsidRPr="00DB7D05">
              <w:rPr>
                <w:rFonts w:ascii="Times New Roman" w:hAnsi="Times New Roman" w:cs="Times New Roman"/>
                <w:sz w:val="24"/>
                <w:szCs w:val="24"/>
              </w:rPr>
              <w:t>wasting</w:t>
            </w:r>
            <w:r w:rsidRPr="00DB7D05">
              <w:rPr>
                <w:rFonts w:ascii="Times New Roman" w:hAnsi="Times New Roman" w:cs="Times New Roman"/>
                <w:sz w:val="24"/>
                <w:szCs w:val="24"/>
                <w:vertAlign w:val="superscript"/>
              </w:rPr>
              <w:t>a</w:t>
            </w:r>
            <w:proofErr w:type="spellEnd"/>
          </w:p>
          <w:p w14:paraId="243ED70D" w14:textId="77777777" w:rsidR="00DB7D05" w:rsidRDefault="00C464FC" w:rsidP="00C464FC">
            <w:pPr>
              <w:rPr>
                <w:rFonts w:ascii="Times New Roman" w:hAnsi="Times New Roman" w:cs="Times New Roman"/>
                <w:sz w:val="24"/>
                <w:szCs w:val="24"/>
              </w:rPr>
            </w:pPr>
            <w:r w:rsidRPr="00DB7D05">
              <w:rPr>
                <w:rFonts w:ascii="Times New Roman" w:hAnsi="Times New Roman" w:cs="Times New Roman"/>
                <w:b/>
                <w:bCs/>
                <w:sz w:val="24"/>
                <w:szCs w:val="24"/>
              </w:rPr>
              <w:t>or</w:t>
            </w:r>
            <w:r w:rsidRPr="00DB7D05">
              <w:rPr>
                <w:rFonts w:ascii="Times New Roman" w:hAnsi="Times New Roman" w:cs="Times New Roman"/>
                <w:sz w:val="24"/>
                <w:szCs w:val="24"/>
              </w:rPr>
              <w:t xml:space="preserve"> bilateral pitting oedema + or ++ </w:t>
            </w:r>
          </w:p>
          <w:p w14:paraId="5BBB85DA" w14:textId="5430F77C"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b/>
                <w:bCs/>
                <w:sz w:val="24"/>
                <w:szCs w:val="24"/>
              </w:rPr>
              <w:t>or</w:t>
            </w:r>
            <w:r w:rsidR="00DB7D05">
              <w:rPr>
                <w:rFonts w:ascii="Times New Roman" w:hAnsi="Times New Roman" w:cs="Times New Roman"/>
                <w:sz w:val="24"/>
                <w:szCs w:val="24"/>
              </w:rPr>
              <w:t xml:space="preserve"> </w:t>
            </w:r>
            <w:r w:rsidRPr="00DB7D05">
              <w:rPr>
                <w:rFonts w:ascii="Times New Roman" w:hAnsi="Times New Roman" w:cs="Times New Roman"/>
                <w:sz w:val="24"/>
                <w:szCs w:val="24"/>
              </w:rPr>
              <w:t xml:space="preserve">severe </w:t>
            </w:r>
            <w:proofErr w:type="spellStart"/>
            <w:r w:rsidRPr="00DB7D05">
              <w:rPr>
                <w:rFonts w:ascii="Times New Roman" w:hAnsi="Times New Roman" w:cs="Times New Roman"/>
                <w:sz w:val="24"/>
                <w:szCs w:val="24"/>
              </w:rPr>
              <w:t>wasting</w:t>
            </w:r>
            <w:r w:rsidRPr="00DB7D05">
              <w:rPr>
                <w:rFonts w:ascii="Times New Roman" w:hAnsi="Times New Roman" w:cs="Times New Roman"/>
                <w:sz w:val="24"/>
                <w:szCs w:val="24"/>
                <w:vertAlign w:val="superscript"/>
              </w:rPr>
              <w:t>a</w:t>
            </w:r>
            <w:proofErr w:type="spellEnd"/>
            <w:r w:rsidRPr="00DB7D05">
              <w:rPr>
                <w:rFonts w:ascii="Times New Roman" w:hAnsi="Times New Roman" w:cs="Times New Roman"/>
                <w:sz w:val="24"/>
                <w:szCs w:val="24"/>
              </w:rPr>
              <w:t xml:space="preserve"> with any of the following danger signs or medical complications:</w:t>
            </w:r>
          </w:p>
          <w:p w14:paraId="440ADE6D"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failed appetite test</w:t>
            </w:r>
          </w:p>
          <w:p w14:paraId="7003DA74"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intractable vomiting</w:t>
            </w:r>
          </w:p>
          <w:p w14:paraId="5EE092B1"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convulsions</w:t>
            </w:r>
          </w:p>
          <w:p w14:paraId="6868888F"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semi-consciousness or unconsciousness</w:t>
            </w:r>
          </w:p>
          <w:p w14:paraId="0D4BC43F"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inability to drink or breastfeed</w:t>
            </w:r>
          </w:p>
          <w:p w14:paraId="2EB466C0"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shock</w:t>
            </w:r>
          </w:p>
          <w:p w14:paraId="59D6A0A0"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severe dehydration</w:t>
            </w:r>
          </w:p>
          <w:p w14:paraId="19DD01E7"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hypoglycaemia</w:t>
            </w:r>
          </w:p>
          <w:p w14:paraId="4E9EC459"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hypothermia</w:t>
            </w:r>
          </w:p>
          <w:p w14:paraId="3BDF6479"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xml:space="preserve">• high fever (&gt; 39°C rectal or &gt; </w:t>
            </w:r>
          </w:p>
          <w:p w14:paraId="041E3D25"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38.5°C axillary)</w:t>
            </w:r>
          </w:p>
          <w:p w14:paraId="171C56FC"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acute diarrhoea</w:t>
            </w:r>
          </w:p>
          <w:p w14:paraId="3541D146"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severe malaria</w:t>
            </w:r>
          </w:p>
          <w:p w14:paraId="39062819"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severe anaemia</w:t>
            </w:r>
          </w:p>
          <w:p w14:paraId="3C3D0D5E"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lower respiratory tract infection</w:t>
            </w:r>
          </w:p>
          <w:p w14:paraId="0D36912A"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eye signs of vitamin A deficiency</w:t>
            </w:r>
          </w:p>
          <w:p w14:paraId="016BACB6"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severe dermatosis</w:t>
            </w:r>
          </w:p>
          <w:p w14:paraId="1ACD7B4A" w14:textId="77777777"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b/>
                <w:bCs/>
                <w:sz w:val="24"/>
                <w:szCs w:val="24"/>
              </w:rPr>
              <w:t>or</w:t>
            </w:r>
            <w:r w:rsidRPr="00DB7D05">
              <w:rPr>
                <w:rFonts w:ascii="Times New Roman" w:hAnsi="Times New Roman" w:cs="Times New Roman"/>
                <w:sz w:val="24"/>
                <w:szCs w:val="24"/>
              </w:rPr>
              <w:t xml:space="preserve"> referred from outpatient care according </w:t>
            </w:r>
          </w:p>
          <w:p w14:paraId="7C74A815" w14:textId="57FF9010"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sz w:val="24"/>
                <w:szCs w:val="24"/>
              </w:rPr>
              <w:t>to outpatient care action protocol</w:t>
            </w:r>
          </w:p>
        </w:tc>
        <w:tc>
          <w:tcPr>
            <w:tcW w:w="4675" w:type="dxa"/>
          </w:tcPr>
          <w:p w14:paraId="6CFA8E13" w14:textId="77777777" w:rsidR="00DB7D05" w:rsidRDefault="00C464FC" w:rsidP="00C464FC">
            <w:pPr>
              <w:rPr>
                <w:rFonts w:ascii="Times New Roman" w:hAnsi="Times New Roman" w:cs="Times New Roman"/>
                <w:sz w:val="24"/>
                <w:szCs w:val="24"/>
                <w:vertAlign w:val="superscript"/>
              </w:rPr>
            </w:pPr>
            <w:r w:rsidRPr="00DB7D05">
              <w:rPr>
                <w:rFonts w:ascii="Times New Roman" w:hAnsi="Times New Roman" w:cs="Times New Roman"/>
                <w:sz w:val="24"/>
                <w:szCs w:val="24"/>
              </w:rPr>
              <w:t>Bilateral pitting oedema + or ++</w:t>
            </w:r>
            <w:r w:rsidR="00092774" w:rsidRPr="00DB7D05">
              <w:rPr>
                <w:rFonts w:ascii="Times New Roman" w:hAnsi="Times New Roman" w:cs="Times New Roman"/>
                <w:sz w:val="24"/>
                <w:szCs w:val="24"/>
              </w:rPr>
              <w:t xml:space="preserve"> </w:t>
            </w:r>
            <w:r w:rsidRPr="00DB7D05">
              <w:rPr>
                <w:rFonts w:ascii="Times New Roman" w:hAnsi="Times New Roman" w:cs="Times New Roman"/>
                <w:sz w:val="24"/>
                <w:szCs w:val="24"/>
              </w:rPr>
              <w:t xml:space="preserve">or severe </w:t>
            </w:r>
            <w:proofErr w:type="spellStart"/>
            <w:r w:rsidRPr="00DB7D05">
              <w:rPr>
                <w:rFonts w:ascii="Times New Roman" w:hAnsi="Times New Roman" w:cs="Times New Roman"/>
                <w:sz w:val="24"/>
                <w:szCs w:val="24"/>
              </w:rPr>
              <w:t>wasting</w:t>
            </w:r>
            <w:r w:rsidRPr="00DB7D05">
              <w:rPr>
                <w:rFonts w:ascii="Times New Roman" w:hAnsi="Times New Roman" w:cs="Times New Roman"/>
                <w:sz w:val="24"/>
                <w:szCs w:val="24"/>
                <w:vertAlign w:val="superscript"/>
              </w:rPr>
              <w:t>a</w:t>
            </w:r>
            <w:proofErr w:type="spellEnd"/>
            <w:r w:rsidR="00092774" w:rsidRPr="00DB7D05">
              <w:rPr>
                <w:rFonts w:ascii="Times New Roman" w:hAnsi="Times New Roman" w:cs="Times New Roman"/>
                <w:sz w:val="24"/>
                <w:szCs w:val="24"/>
                <w:vertAlign w:val="superscript"/>
              </w:rPr>
              <w:t xml:space="preserve"> </w:t>
            </w:r>
          </w:p>
          <w:p w14:paraId="4D30545F" w14:textId="52219268" w:rsidR="00DB7D05" w:rsidRPr="00DB7D05" w:rsidRDefault="00C464FC" w:rsidP="00C464FC">
            <w:pPr>
              <w:rPr>
                <w:rFonts w:ascii="Times New Roman" w:hAnsi="Times New Roman" w:cs="Times New Roman"/>
                <w:b/>
                <w:bCs/>
                <w:sz w:val="24"/>
                <w:szCs w:val="24"/>
              </w:rPr>
            </w:pPr>
            <w:r w:rsidRPr="00DB7D05">
              <w:rPr>
                <w:rFonts w:ascii="Times New Roman" w:hAnsi="Times New Roman" w:cs="Times New Roman"/>
                <w:b/>
                <w:bCs/>
                <w:sz w:val="24"/>
                <w:szCs w:val="24"/>
              </w:rPr>
              <w:t>and</w:t>
            </w:r>
            <w:r w:rsidR="00DB7D05" w:rsidRPr="00DB7D05">
              <w:rPr>
                <w:rFonts w:ascii="Times New Roman" w:hAnsi="Times New Roman" w:cs="Times New Roman"/>
                <w:b/>
                <w:bCs/>
                <w:sz w:val="24"/>
                <w:szCs w:val="24"/>
              </w:rPr>
              <w:t xml:space="preserve"> </w:t>
            </w:r>
          </w:p>
          <w:p w14:paraId="4EDA802B" w14:textId="4FC17EF5"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passed appetite test</w:t>
            </w:r>
          </w:p>
          <w:p w14:paraId="2F73CD8F"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clinically well</w:t>
            </w:r>
          </w:p>
          <w:p w14:paraId="08A1BBEC" w14:textId="77777777" w:rsidR="00C464FC" w:rsidRPr="00DB7D05" w:rsidRDefault="00C464FC" w:rsidP="00DB7D05">
            <w:pPr>
              <w:ind w:left="720"/>
              <w:rPr>
                <w:rFonts w:ascii="Times New Roman" w:hAnsi="Times New Roman" w:cs="Times New Roman"/>
                <w:sz w:val="24"/>
                <w:szCs w:val="24"/>
              </w:rPr>
            </w:pPr>
            <w:r w:rsidRPr="00DB7D05">
              <w:rPr>
                <w:rFonts w:ascii="Times New Roman" w:hAnsi="Times New Roman" w:cs="Times New Roman"/>
                <w:sz w:val="24"/>
                <w:szCs w:val="24"/>
              </w:rPr>
              <w:t>• alert</w:t>
            </w:r>
          </w:p>
          <w:p w14:paraId="3FB2FF76" w14:textId="77777777"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b/>
                <w:bCs/>
                <w:sz w:val="24"/>
                <w:szCs w:val="24"/>
              </w:rPr>
              <w:t xml:space="preserve">or </w:t>
            </w:r>
            <w:r w:rsidRPr="00DB7D05">
              <w:rPr>
                <w:rFonts w:ascii="Times New Roman" w:hAnsi="Times New Roman" w:cs="Times New Roman"/>
                <w:sz w:val="24"/>
                <w:szCs w:val="24"/>
              </w:rPr>
              <w:t xml:space="preserve">transferred from inpatient care after </w:t>
            </w:r>
          </w:p>
          <w:p w14:paraId="22611927" w14:textId="1B6E4EAA"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sz w:val="24"/>
                <w:szCs w:val="24"/>
              </w:rPr>
              <w:t>medical complications have been treate</w:t>
            </w:r>
            <w:r w:rsidR="00092774" w:rsidRPr="00DB7D05">
              <w:rPr>
                <w:rFonts w:ascii="Times New Roman" w:hAnsi="Times New Roman" w:cs="Times New Roman"/>
                <w:sz w:val="24"/>
                <w:szCs w:val="24"/>
              </w:rPr>
              <w:t>d</w:t>
            </w:r>
          </w:p>
        </w:tc>
      </w:tr>
    </w:tbl>
    <w:p w14:paraId="41BA9D53" w14:textId="19A5C2A8" w:rsidR="00295DA6" w:rsidRPr="00DB7D05" w:rsidRDefault="00C464FC">
      <w:pPr>
        <w:rPr>
          <w:rFonts w:ascii="Times New Roman" w:hAnsi="Times New Roman" w:cs="Times New Roman"/>
          <w:sz w:val="24"/>
          <w:szCs w:val="24"/>
        </w:rPr>
      </w:pPr>
      <w:r w:rsidRPr="00DB7D05">
        <w:rPr>
          <w:rFonts w:ascii="Times New Roman" w:hAnsi="Times New Roman" w:cs="Times New Roman"/>
          <w:sz w:val="24"/>
          <w:szCs w:val="24"/>
          <w:vertAlign w:val="superscript"/>
        </w:rPr>
        <w:t>a</w:t>
      </w:r>
      <w:r w:rsidRPr="00DB7D05">
        <w:rPr>
          <w:rFonts w:ascii="Times New Roman" w:hAnsi="Times New Roman" w:cs="Times New Roman"/>
          <w:sz w:val="24"/>
          <w:szCs w:val="24"/>
        </w:rPr>
        <w:t xml:space="preserve"> Severe wasting is defined as MUAC &lt; 115 mm or weight-for-height/length Z-score of &lt; –3 SD</w:t>
      </w:r>
    </w:p>
    <w:p w14:paraId="4C8965FE" w14:textId="77777777" w:rsidR="00C464FC" w:rsidRPr="00DB7D05" w:rsidRDefault="00C464FC">
      <w:pPr>
        <w:rPr>
          <w:rFonts w:ascii="Times New Roman" w:hAnsi="Times New Roman" w:cs="Times New Roman"/>
          <w:sz w:val="24"/>
          <w:szCs w:val="24"/>
        </w:rPr>
      </w:pPr>
    </w:p>
    <w:p w14:paraId="702A5D45" w14:textId="67C6EE55" w:rsidR="00C464FC" w:rsidRPr="00DB7D05" w:rsidRDefault="00C464FC">
      <w:pPr>
        <w:rPr>
          <w:rFonts w:ascii="Times New Roman" w:hAnsi="Times New Roman" w:cs="Times New Roman"/>
          <w:sz w:val="24"/>
          <w:szCs w:val="24"/>
        </w:rPr>
      </w:pPr>
    </w:p>
    <w:p w14:paraId="55B228D1" w14:textId="2ED4B005" w:rsidR="00092774" w:rsidRPr="00DB7D05" w:rsidRDefault="00092774">
      <w:pPr>
        <w:rPr>
          <w:rFonts w:ascii="Times New Roman" w:hAnsi="Times New Roman" w:cs="Times New Roman"/>
          <w:sz w:val="24"/>
          <w:szCs w:val="24"/>
        </w:rPr>
      </w:pPr>
      <w:r w:rsidRPr="00DB7D05">
        <w:rPr>
          <w:rFonts w:ascii="Times New Roman" w:hAnsi="Times New Roman" w:cs="Times New Roman"/>
          <w:sz w:val="24"/>
          <w:szCs w:val="24"/>
        </w:rPr>
        <w:br w:type="page"/>
      </w:r>
    </w:p>
    <w:p w14:paraId="072959FC" w14:textId="232C6970" w:rsidR="00C464FC" w:rsidRPr="00DB7D05" w:rsidRDefault="00AD7189" w:rsidP="00C464FC">
      <w:pPr>
        <w:rPr>
          <w:rFonts w:ascii="Times New Roman" w:hAnsi="Times New Roman" w:cs="Times New Roman"/>
          <w:b/>
          <w:bCs/>
          <w:sz w:val="24"/>
          <w:szCs w:val="24"/>
        </w:rPr>
      </w:pPr>
      <w:r>
        <w:rPr>
          <w:rFonts w:ascii="Times New Roman" w:hAnsi="Times New Roman" w:cs="Times New Roman"/>
          <w:b/>
          <w:bCs/>
          <w:sz w:val="24"/>
          <w:szCs w:val="24"/>
        </w:rPr>
        <w:lastRenderedPageBreak/>
        <w:t>1.</w:t>
      </w:r>
      <w:r w:rsidR="00C464FC" w:rsidRPr="00DB7D05">
        <w:rPr>
          <w:rFonts w:ascii="Times New Roman" w:hAnsi="Times New Roman" w:cs="Times New Roman"/>
          <w:b/>
          <w:bCs/>
          <w:sz w:val="24"/>
          <w:szCs w:val="24"/>
        </w:rPr>
        <w:t xml:space="preserve">2 Admission criteria for infants aged </w:t>
      </w:r>
      <w:r w:rsidR="00C464FC" w:rsidRPr="0029297E">
        <w:rPr>
          <w:rFonts w:ascii="Times New Roman" w:hAnsi="Times New Roman" w:cs="Times New Roman"/>
          <w:b/>
          <w:bCs/>
          <w:sz w:val="24"/>
          <w:szCs w:val="24"/>
          <w:u w:val="single"/>
        </w:rPr>
        <w:t>less than 6 months</w:t>
      </w:r>
      <w:r w:rsidR="00092774" w:rsidRPr="00DB7D05">
        <w:rPr>
          <w:rFonts w:ascii="Times New Roman" w:hAnsi="Times New Roman" w:cs="Times New Roman"/>
          <w:b/>
          <w:bCs/>
          <w:sz w:val="24"/>
          <w:szCs w:val="24"/>
        </w:rPr>
        <w:t xml:space="preserve">: </w:t>
      </w:r>
      <w:r w:rsidR="00C464FC" w:rsidRPr="00DB7D05">
        <w:rPr>
          <w:rFonts w:ascii="Times New Roman" w:hAnsi="Times New Roman" w:cs="Times New Roman"/>
          <w:b/>
          <w:bCs/>
          <w:sz w:val="24"/>
          <w:szCs w:val="24"/>
        </w:rPr>
        <w:t>Admission criteria for inpatient and outpatient care (less than 6 month</w:t>
      </w:r>
    </w:p>
    <w:tbl>
      <w:tblPr>
        <w:tblStyle w:val="TableGrid"/>
        <w:tblW w:w="0" w:type="auto"/>
        <w:tblLook w:val="04A0" w:firstRow="1" w:lastRow="0" w:firstColumn="1" w:lastColumn="0" w:noHBand="0" w:noVBand="1"/>
      </w:tblPr>
      <w:tblGrid>
        <w:gridCol w:w="4675"/>
        <w:gridCol w:w="4675"/>
      </w:tblGrid>
      <w:tr w:rsidR="00C464FC" w:rsidRPr="00DB7D05" w14:paraId="69922C26" w14:textId="77777777" w:rsidTr="00292376">
        <w:tc>
          <w:tcPr>
            <w:tcW w:w="9350" w:type="dxa"/>
            <w:gridSpan w:val="2"/>
          </w:tcPr>
          <w:p w14:paraId="4FCF94F4" w14:textId="4772675E" w:rsidR="00C464FC" w:rsidRPr="0029297E" w:rsidRDefault="00C464FC" w:rsidP="0029297E">
            <w:pPr>
              <w:jc w:val="center"/>
              <w:rPr>
                <w:rFonts w:ascii="Times New Roman" w:hAnsi="Times New Roman" w:cs="Times New Roman"/>
                <w:b/>
                <w:bCs/>
                <w:sz w:val="24"/>
                <w:szCs w:val="24"/>
              </w:rPr>
            </w:pPr>
            <w:r w:rsidRPr="0029297E">
              <w:rPr>
                <w:rFonts w:ascii="Times New Roman" w:hAnsi="Times New Roman" w:cs="Times New Roman"/>
                <w:b/>
                <w:bCs/>
                <w:sz w:val="24"/>
                <w:szCs w:val="24"/>
              </w:rPr>
              <w:t>Infants aged less than 6 months</w:t>
            </w:r>
          </w:p>
        </w:tc>
      </w:tr>
      <w:tr w:rsidR="00C464FC" w:rsidRPr="00DB7D05" w14:paraId="62844394" w14:textId="77777777" w:rsidTr="00C464FC">
        <w:tc>
          <w:tcPr>
            <w:tcW w:w="4675" w:type="dxa"/>
          </w:tcPr>
          <w:p w14:paraId="27B4A0E5" w14:textId="6090F951" w:rsidR="00C464FC" w:rsidRPr="00AD7189" w:rsidRDefault="00C464FC">
            <w:pPr>
              <w:rPr>
                <w:rFonts w:ascii="Times New Roman" w:hAnsi="Times New Roman" w:cs="Times New Roman"/>
                <w:b/>
                <w:bCs/>
                <w:sz w:val="24"/>
                <w:szCs w:val="24"/>
                <w:u w:val="single"/>
              </w:rPr>
            </w:pPr>
            <w:r w:rsidRPr="00AD7189">
              <w:rPr>
                <w:rFonts w:ascii="Times New Roman" w:hAnsi="Times New Roman" w:cs="Times New Roman"/>
                <w:b/>
                <w:bCs/>
                <w:sz w:val="24"/>
                <w:szCs w:val="24"/>
                <w:u w:val="single"/>
              </w:rPr>
              <w:t>Inpatient care</w:t>
            </w:r>
          </w:p>
        </w:tc>
        <w:tc>
          <w:tcPr>
            <w:tcW w:w="4675" w:type="dxa"/>
          </w:tcPr>
          <w:p w14:paraId="578D4B08" w14:textId="13CE5429" w:rsidR="00C464FC" w:rsidRPr="00AD7189" w:rsidRDefault="00C464FC">
            <w:pPr>
              <w:rPr>
                <w:rFonts w:ascii="Times New Roman" w:hAnsi="Times New Roman" w:cs="Times New Roman"/>
                <w:b/>
                <w:bCs/>
                <w:sz w:val="24"/>
                <w:szCs w:val="24"/>
                <w:u w:val="single"/>
              </w:rPr>
            </w:pPr>
            <w:r w:rsidRPr="00AD7189">
              <w:rPr>
                <w:rFonts w:ascii="Times New Roman" w:hAnsi="Times New Roman" w:cs="Times New Roman"/>
                <w:b/>
                <w:bCs/>
                <w:sz w:val="24"/>
                <w:szCs w:val="24"/>
                <w:u w:val="single"/>
              </w:rPr>
              <w:t>Outpatient care</w:t>
            </w:r>
          </w:p>
        </w:tc>
      </w:tr>
      <w:tr w:rsidR="00C464FC" w:rsidRPr="00DB7D05" w14:paraId="18DEC83B" w14:textId="77777777" w:rsidTr="00C464FC">
        <w:tc>
          <w:tcPr>
            <w:tcW w:w="4675" w:type="dxa"/>
          </w:tcPr>
          <w:p w14:paraId="43C50A92" w14:textId="77777777"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sz w:val="24"/>
                <w:szCs w:val="24"/>
              </w:rPr>
              <w:t>Any bilateral pitting oedema (+, ++, or +++)</w:t>
            </w:r>
          </w:p>
          <w:p w14:paraId="547503E2" w14:textId="66C0F62E" w:rsidR="00C464FC" w:rsidRPr="00DB7D05" w:rsidRDefault="00C464FC" w:rsidP="00C464FC">
            <w:pPr>
              <w:rPr>
                <w:rFonts w:ascii="Times New Roman" w:hAnsi="Times New Roman" w:cs="Times New Roman"/>
                <w:sz w:val="24"/>
                <w:szCs w:val="24"/>
              </w:rPr>
            </w:pPr>
            <w:r w:rsidRPr="00864AEC">
              <w:rPr>
                <w:rFonts w:ascii="Times New Roman" w:hAnsi="Times New Roman" w:cs="Times New Roman"/>
                <w:b/>
                <w:bCs/>
                <w:sz w:val="24"/>
                <w:szCs w:val="24"/>
              </w:rPr>
              <w:t>or</w:t>
            </w:r>
            <w:r w:rsidRPr="00DB7D05">
              <w:rPr>
                <w:rFonts w:ascii="Times New Roman" w:hAnsi="Times New Roman" w:cs="Times New Roman"/>
                <w:sz w:val="24"/>
                <w:szCs w:val="24"/>
              </w:rPr>
              <w:t xml:space="preserve"> weight-for-length Z-score &lt; –3 SD with any of the following danger signs or</w:t>
            </w:r>
            <w:r w:rsidR="00864AEC">
              <w:rPr>
                <w:rFonts w:ascii="Times New Roman" w:hAnsi="Times New Roman" w:cs="Times New Roman"/>
                <w:sz w:val="24"/>
                <w:szCs w:val="24"/>
              </w:rPr>
              <w:t xml:space="preserve"> </w:t>
            </w:r>
            <w:r w:rsidRPr="00DB7D05">
              <w:rPr>
                <w:rFonts w:ascii="Times New Roman" w:hAnsi="Times New Roman" w:cs="Times New Roman"/>
                <w:sz w:val="24"/>
                <w:szCs w:val="24"/>
              </w:rPr>
              <w:t>medical complications:</w:t>
            </w:r>
          </w:p>
          <w:p w14:paraId="2822CF2B"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unable to breastfeed</w:t>
            </w:r>
          </w:p>
          <w:p w14:paraId="5A7264D5"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intractable vomiting</w:t>
            </w:r>
          </w:p>
          <w:p w14:paraId="719332C4"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convulsions</w:t>
            </w:r>
          </w:p>
          <w:p w14:paraId="370F7EEB" w14:textId="34D2E0E1"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semi-consciousness or</w:t>
            </w:r>
            <w:r w:rsidR="00864AEC">
              <w:rPr>
                <w:rFonts w:ascii="Times New Roman" w:hAnsi="Times New Roman" w:cs="Times New Roman"/>
                <w:sz w:val="24"/>
                <w:szCs w:val="24"/>
              </w:rPr>
              <w:t xml:space="preserve"> </w:t>
            </w:r>
            <w:r w:rsidRPr="00DB7D05">
              <w:rPr>
                <w:rFonts w:ascii="Times New Roman" w:hAnsi="Times New Roman" w:cs="Times New Roman"/>
                <w:sz w:val="24"/>
                <w:szCs w:val="24"/>
              </w:rPr>
              <w:t>unconsciousness</w:t>
            </w:r>
          </w:p>
          <w:p w14:paraId="6884BEA2"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shock</w:t>
            </w:r>
          </w:p>
          <w:p w14:paraId="47922EB5"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severe dehydration</w:t>
            </w:r>
          </w:p>
          <w:p w14:paraId="4E16B822"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hypoglycaemia</w:t>
            </w:r>
          </w:p>
          <w:p w14:paraId="58A2DD25"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hypothermia</w:t>
            </w:r>
          </w:p>
          <w:p w14:paraId="681120AF" w14:textId="07EAA4A0"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high fever (&gt; 39°C rectal or &gt; 38.5°C axillary)</w:t>
            </w:r>
          </w:p>
          <w:p w14:paraId="741FBA01"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acute diarrhoea</w:t>
            </w:r>
          </w:p>
          <w:p w14:paraId="002FAFCE"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severe anaemia</w:t>
            </w:r>
          </w:p>
          <w:p w14:paraId="407813A1"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lower respiratory tract infection</w:t>
            </w:r>
          </w:p>
          <w:p w14:paraId="5995DE41"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eye signs of vitamin A deficiency</w:t>
            </w:r>
          </w:p>
          <w:p w14:paraId="657C58E0"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severe dermatosis</w:t>
            </w:r>
          </w:p>
          <w:p w14:paraId="6E6A6D7A" w14:textId="77777777" w:rsidR="00C464FC" w:rsidRPr="00DB7D05" w:rsidRDefault="00C464FC" w:rsidP="00C464FC">
            <w:pPr>
              <w:rPr>
                <w:rFonts w:ascii="Times New Roman" w:hAnsi="Times New Roman" w:cs="Times New Roman"/>
                <w:sz w:val="24"/>
                <w:szCs w:val="24"/>
              </w:rPr>
            </w:pPr>
            <w:r w:rsidRPr="00864AEC">
              <w:rPr>
                <w:rFonts w:ascii="Times New Roman" w:hAnsi="Times New Roman" w:cs="Times New Roman"/>
                <w:b/>
                <w:bCs/>
                <w:sz w:val="24"/>
                <w:szCs w:val="24"/>
              </w:rPr>
              <w:t>or</w:t>
            </w:r>
            <w:r w:rsidRPr="00DB7D05">
              <w:rPr>
                <w:rFonts w:ascii="Times New Roman" w:hAnsi="Times New Roman" w:cs="Times New Roman"/>
                <w:sz w:val="24"/>
                <w:szCs w:val="24"/>
              </w:rPr>
              <w:t xml:space="preserve"> any of the following:</w:t>
            </w:r>
          </w:p>
          <w:p w14:paraId="03F6D4F0" w14:textId="777777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failure to gain weight</w:t>
            </w:r>
          </w:p>
          <w:p w14:paraId="39F2EF53" w14:textId="4D9F1854"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any loss of weight that crosses the infant’s growth line</w:t>
            </w:r>
          </w:p>
          <w:p w14:paraId="29221526" w14:textId="1909F660"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ineffective breastfeeding (attachment, positioning or suckling) directly observed for 15–20 minutes</w:t>
            </w:r>
          </w:p>
          <w:p w14:paraId="2A468896" w14:textId="0903F715"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disability that affects suckling or swallowing, or a developmental problem affecting feeding</w:t>
            </w:r>
          </w:p>
          <w:p w14:paraId="70B1603D" w14:textId="782AA077"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 xml:space="preserve">• any social issue requiring detailed assessment or intensive support (e.g. </w:t>
            </w:r>
          </w:p>
          <w:p w14:paraId="07215E29" w14:textId="5FC5F992" w:rsidR="00C464FC" w:rsidRPr="00DB7D05" w:rsidRDefault="00C464FC" w:rsidP="00864AEC">
            <w:pPr>
              <w:ind w:left="720"/>
              <w:rPr>
                <w:rFonts w:ascii="Times New Roman" w:hAnsi="Times New Roman" w:cs="Times New Roman"/>
                <w:sz w:val="24"/>
                <w:szCs w:val="24"/>
              </w:rPr>
            </w:pPr>
            <w:r w:rsidRPr="00DB7D05">
              <w:rPr>
                <w:rFonts w:ascii="Times New Roman" w:hAnsi="Times New Roman" w:cs="Times New Roman"/>
                <w:sz w:val="24"/>
                <w:szCs w:val="24"/>
              </w:rPr>
              <w:t>maternal depression)</w:t>
            </w:r>
          </w:p>
        </w:tc>
        <w:tc>
          <w:tcPr>
            <w:tcW w:w="4675" w:type="dxa"/>
          </w:tcPr>
          <w:p w14:paraId="665CE589" w14:textId="77777777"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sz w:val="24"/>
                <w:szCs w:val="24"/>
              </w:rPr>
              <w:t>Weight-for-length Z-score &lt; –3 SD</w:t>
            </w:r>
          </w:p>
          <w:p w14:paraId="14DEA724" w14:textId="77777777" w:rsidR="00C464FC" w:rsidRPr="0029297E" w:rsidRDefault="00C464FC" w:rsidP="00C464FC">
            <w:pPr>
              <w:rPr>
                <w:rFonts w:ascii="Times New Roman" w:hAnsi="Times New Roman" w:cs="Times New Roman"/>
                <w:b/>
                <w:bCs/>
                <w:sz w:val="24"/>
                <w:szCs w:val="24"/>
              </w:rPr>
            </w:pPr>
            <w:r w:rsidRPr="0029297E">
              <w:rPr>
                <w:rFonts w:ascii="Times New Roman" w:hAnsi="Times New Roman" w:cs="Times New Roman"/>
                <w:b/>
                <w:bCs/>
                <w:sz w:val="24"/>
                <w:szCs w:val="24"/>
              </w:rPr>
              <w:t>and</w:t>
            </w:r>
          </w:p>
          <w:p w14:paraId="3CBED8E9" w14:textId="77777777"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sz w:val="24"/>
                <w:szCs w:val="24"/>
              </w:rPr>
              <w:t>• no bilateral pitting oedema</w:t>
            </w:r>
          </w:p>
          <w:p w14:paraId="00942B67" w14:textId="77777777"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sz w:val="24"/>
                <w:szCs w:val="24"/>
              </w:rPr>
              <w:t>• clinically well and alert</w:t>
            </w:r>
          </w:p>
          <w:p w14:paraId="45A79004" w14:textId="63235FD6" w:rsidR="00C464FC" w:rsidRPr="00DB7D05" w:rsidRDefault="00C464FC" w:rsidP="00C464FC">
            <w:pPr>
              <w:rPr>
                <w:rFonts w:ascii="Times New Roman" w:hAnsi="Times New Roman" w:cs="Times New Roman"/>
                <w:sz w:val="24"/>
                <w:szCs w:val="24"/>
              </w:rPr>
            </w:pPr>
            <w:r w:rsidRPr="00DB7D05">
              <w:rPr>
                <w:rFonts w:ascii="Times New Roman" w:hAnsi="Times New Roman" w:cs="Times New Roman"/>
                <w:sz w:val="24"/>
                <w:szCs w:val="24"/>
              </w:rPr>
              <w:t>• gaining weight following the growth curve (serial weight measurements follow consistently along a channel on or between the same centiles)</w:t>
            </w:r>
          </w:p>
          <w:p w14:paraId="41FE7C2A" w14:textId="7EFC2539" w:rsidR="00C464FC" w:rsidRDefault="00C464FC" w:rsidP="00C464FC">
            <w:pPr>
              <w:rPr>
                <w:rFonts w:ascii="Times New Roman" w:hAnsi="Times New Roman" w:cs="Times New Roman"/>
                <w:sz w:val="24"/>
                <w:szCs w:val="24"/>
              </w:rPr>
            </w:pPr>
            <w:r w:rsidRPr="00DB7D05">
              <w:rPr>
                <w:rFonts w:ascii="Times New Roman" w:hAnsi="Times New Roman" w:cs="Times New Roman"/>
                <w:sz w:val="24"/>
                <w:szCs w:val="24"/>
              </w:rPr>
              <w:t>• adequate social circumstances and support</w:t>
            </w:r>
          </w:p>
          <w:p w14:paraId="2A2CEEB9" w14:textId="77777777" w:rsidR="0029297E" w:rsidRPr="00DB7D05" w:rsidRDefault="0029297E" w:rsidP="00C464FC">
            <w:pPr>
              <w:rPr>
                <w:rFonts w:ascii="Times New Roman" w:hAnsi="Times New Roman" w:cs="Times New Roman"/>
                <w:sz w:val="24"/>
                <w:szCs w:val="24"/>
              </w:rPr>
            </w:pPr>
          </w:p>
          <w:p w14:paraId="2625F2C2" w14:textId="04B6755C" w:rsidR="00C464FC" w:rsidRPr="00DB7D05" w:rsidRDefault="00C464FC" w:rsidP="0029297E">
            <w:pPr>
              <w:rPr>
                <w:rFonts w:ascii="Times New Roman" w:hAnsi="Times New Roman" w:cs="Times New Roman"/>
                <w:sz w:val="24"/>
                <w:szCs w:val="24"/>
              </w:rPr>
            </w:pPr>
            <w:r w:rsidRPr="0029297E">
              <w:rPr>
                <w:rFonts w:ascii="Times New Roman" w:hAnsi="Times New Roman" w:cs="Times New Roman"/>
                <w:i/>
                <w:iCs/>
                <w:sz w:val="24"/>
                <w:szCs w:val="24"/>
              </w:rPr>
              <w:t>Note: Careful review and close follow-up during outpatient care should be ensured before making the decision to transfer to outpatient programme</w:t>
            </w:r>
          </w:p>
        </w:tc>
      </w:tr>
    </w:tbl>
    <w:p w14:paraId="4F30BA48" w14:textId="7EBCD61A" w:rsidR="0041572E" w:rsidRDefault="0041572E">
      <w:pPr>
        <w:rPr>
          <w:rFonts w:ascii="Times New Roman" w:hAnsi="Times New Roman" w:cs="Times New Roman"/>
          <w:sz w:val="24"/>
          <w:szCs w:val="24"/>
        </w:rPr>
      </w:pPr>
    </w:p>
    <w:p w14:paraId="2D6E902B" w14:textId="77777777" w:rsidR="0041572E" w:rsidRDefault="0041572E">
      <w:pPr>
        <w:rPr>
          <w:rFonts w:ascii="Times New Roman" w:hAnsi="Times New Roman" w:cs="Times New Roman"/>
          <w:sz w:val="24"/>
          <w:szCs w:val="24"/>
        </w:rPr>
      </w:pPr>
      <w:r>
        <w:rPr>
          <w:rFonts w:ascii="Times New Roman" w:hAnsi="Times New Roman" w:cs="Times New Roman"/>
          <w:sz w:val="24"/>
          <w:szCs w:val="24"/>
        </w:rPr>
        <w:br w:type="page"/>
      </w:r>
    </w:p>
    <w:p w14:paraId="74EBE135" w14:textId="77777777" w:rsidR="0041572E" w:rsidRPr="00234DAB" w:rsidRDefault="0041572E" w:rsidP="0041572E">
      <w:pPr>
        <w:spacing w:line="276" w:lineRule="auto"/>
        <w:jc w:val="center"/>
        <w:rPr>
          <w:rFonts w:ascii="Times New Roman" w:hAnsi="Times New Roman" w:cs="Times New Roman"/>
          <w:b/>
          <w:bCs/>
          <w:sz w:val="24"/>
          <w:szCs w:val="24"/>
          <w:u w:val="single"/>
        </w:rPr>
      </w:pPr>
      <w:r w:rsidRPr="00DA34AF">
        <w:rPr>
          <w:rFonts w:ascii="Times New Roman" w:hAnsi="Times New Roman" w:cs="Times New Roman"/>
          <w:b/>
          <w:bCs/>
          <w:sz w:val="24"/>
          <w:szCs w:val="24"/>
          <w:u w:val="single"/>
        </w:rPr>
        <w:lastRenderedPageBreak/>
        <w:t>Annex 2</w:t>
      </w:r>
      <w:r>
        <w:rPr>
          <w:rFonts w:ascii="Times New Roman" w:hAnsi="Times New Roman" w:cs="Times New Roman"/>
          <w:b/>
          <w:bCs/>
          <w:sz w:val="24"/>
          <w:szCs w:val="24"/>
          <w:u w:val="single"/>
        </w:rPr>
        <w:t xml:space="preserve">: definition of final disposition of </w:t>
      </w:r>
      <w:r w:rsidRPr="00234DAB">
        <w:rPr>
          <w:rFonts w:ascii="Times New Roman" w:hAnsi="Times New Roman" w:cs="Times New Roman"/>
          <w:b/>
          <w:bCs/>
          <w:sz w:val="24"/>
          <w:szCs w:val="24"/>
          <w:u w:val="single"/>
        </w:rPr>
        <w:t>children</w:t>
      </w:r>
    </w:p>
    <w:p w14:paraId="182BAC36" w14:textId="77777777" w:rsidR="0041572E" w:rsidRDefault="0041572E" w:rsidP="0041572E">
      <w:pPr>
        <w:spacing w:line="276" w:lineRule="auto"/>
        <w:jc w:val="both"/>
        <w:rPr>
          <w:rFonts w:ascii="Times New Roman" w:hAnsi="Times New Roman" w:cs="Times New Roman"/>
          <w:sz w:val="24"/>
          <w:szCs w:val="24"/>
        </w:rPr>
      </w:pPr>
      <w:r w:rsidRPr="008129E0">
        <w:rPr>
          <w:rFonts w:ascii="Times New Roman" w:hAnsi="Times New Roman" w:cs="Times New Roman"/>
          <w:b/>
          <w:bCs/>
          <w:sz w:val="24"/>
          <w:szCs w:val="24"/>
        </w:rPr>
        <w:t>Discharge:</w:t>
      </w:r>
      <w:r>
        <w:rPr>
          <w:rFonts w:ascii="Times New Roman" w:hAnsi="Times New Roman" w:cs="Times New Roman"/>
          <w:sz w:val="24"/>
          <w:szCs w:val="24"/>
        </w:rPr>
        <w:t xml:space="preserve"> </w:t>
      </w:r>
    </w:p>
    <w:p w14:paraId="5E7A5421" w14:textId="77777777" w:rsidR="0041572E" w:rsidRPr="005E4B33" w:rsidRDefault="0041572E" w:rsidP="0041572E">
      <w:pPr>
        <w:spacing w:line="276" w:lineRule="auto"/>
        <w:ind w:left="720"/>
        <w:jc w:val="both"/>
        <w:rPr>
          <w:rFonts w:ascii="Times New Roman" w:hAnsi="Times New Roman" w:cs="Times New Roman"/>
          <w:sz w:val="24"/>
          <w:szCs w:val="24"/>
        </w:rPr>
      </w:pPr>
      <w:r w:rsidRPr="008E3603">
        <w:rPr>
          <w:rFonts w:ascii="Times New Roman" w:hAnsi="Times New Roman" w:cs="Times New Roman"/>
          <w:sz w:val="24"/>
          <w:szCs w:val="24"/>
        </w:rPr>
        <w:t>A discharge is defined as a patient who leaves the IMAM program because they are cured, died, defaulted, or medically referred.</w:t>
      </w:r>
    </w:p>
    <w:p w14:paraId="15FA5EE4" w14:textId="77777777" w:rsidR="0041572E" w:rsidRDefault="0041572E" w:rsidP="0041572E">
      <w:pPr>
        <w:spacing w:line="276" w:lineRule="auto"/>
        <w:jc w:val="both"/>
        <w:rPr>
          <w:rFonts w:ascii="Times New Roman" w:hAnsi="Times New Roman" w:cs="Times New Roman"/>
          <w:b/>
          <w:bCs/>
          <w:sz w:val="24"/>
          <w:szCs w:val="24"/>
        </w:rPr>
      </w:pPr>
      <w:r w:rsidRPr="008129E0">
        <w:rPr>
          <w:rFonts w:ascii="Times New Roman" w:hAnsi="Times New Roman" w:cs="Times New Roman"/>
          <w:b/>
          <w:bCs/>
          <w:sz w:val="24"/>
          <w:szCs w:val="24"/>
        </w:rPr>
        <w:t>Cure</w:t>
      </w:r>
      <w:r>
        <w:rPr>
          <w:rFonts w:ascii="Times New Roman" w:hAnsi="Times New Roman" w:cs="Times New Roman"/>
          <w:b/>
          <w:bCs/>
          <w:sz w:val="24"/>
          <w:szCs w:val="24"/>
        </w:rPr>
        <w:t xml:space="preserve">: </w:t>
      </w:r>
    </w:p>
    <w:p w14:paraId="41170FB1" w14:textId="77777777" w:rsidR="0041572E" w:rsidRPr="008129E0" w:rsidRDefault="0041572E" w:rsidP="0041572E">
      <w:pPr>
        <w:spacing w:line="276" w:lineRule="auto"/>
        <w:ind w:left="720"/>
        <w:jc w:val="both"/>
        <w:rPr>
          <w:rFonts w:ascii="Times New Roman" w:hAnsi="Times New Roman" w:cs="Times New Roman"/>
          <w:sz w:val="24"/>
          <w:szCs w:val="24"/>
        </w:rPr>
      </w:pPr>
      <w:r w:rsidRPr="008129E0">
        <w:rPr>
          <w:rFonts w:ascii="Times New Roman" w:hAnsi="Times New Roman" w:cs="Times New Roman"/>
          <w:sz w:val="24"/>
          <w:szCs w:val="24"/>
        </w:rPr>
        <w:t>Cure is defined as a patient reaching the criteria for discharge. Note: Discharge to the Supplementary Feeding Program (SFP) is not considered as a transfer, but as a discharge from the program for severe malnutrition.</w:t>
      </w:r>
    </w:p>
    <w:p w14:paraId="2CC1E25A" w14:textId="77777777" w:rsidR="0041572E" w:rsidRDefault="0041572E" w:rsidP="0041572E">
      <w:pPr>
        <w:spacing w:line="276" w:lineRule="auto"/>
        <w:jc w:val="both"/>
        <w:rPr>
          <w:rFonts w:ascii="Times New Roman" w:hAnsi="Times New Roman" w:cs="Times New Roman"/>
          <w:b/>
          <w:bCs/>
          <w:sz w:val="24"/>
          <w:szCs w:val="24"/>
        </w:rPr>
      </w:pPr>
      <w:r w:rsidRPr="008129E0">
        <w:rPr>
          <w:rFonts w:ascii="Times New Roman" w:hAnsi="Times New Roman" w:cs="Times New Roman"/>
          <w:b/>
          <w:bCs/>
          <w:sz w:val="24"/>
          <w:szCs w:val="24"/>
        </w:rPr>
        <w:t>Death</w:t>
      </w:r>
      <w:r>
        <w:rPr>
          <w:rFonts w:ascii="Times New Roman" w:hAnsi="Times New Roman" w:cs="Times New Roman"/>
          <w:b/>
          <w:bCs/>
          <w:sz w:val="24"/>
          <w:szCs w:val="24"/>
        </w:rPr>
        <w:t xml:space="preserve">: </w:t>
      </w:r>
    </w:p>
    <w:p w14:paraId="25156380" w14:textId="77777777" w:rsidR="0041572E" w:rsidRDefault="0041572E" w:rsidP="0041572E">
      <w:pPr>
        <w:spacing w:line="276" w:lineRule="auto"/>
        <w:ind w:left="720"/>
        <w:jc w:val="both"/>
        <w:rPr>
          <w:rFonts w:ascii="Times New Roman" w:hAnsi="Times New Roman" w:cs="Times New Roman"/>
          <w:sz w:val="24"/>
          <w:szCs w:val="24"/>
        </w:rPr>
      </w:pPr>
      <w:r w:rsidRPr="008129E0">
        <w:rPr>
          <w:rFonts w:ascii="Times New Roman" w:hAnsi="Times New Roman" w:cs="Times New Roman"/>
          <w:sz w:val="24"/>
          <w:szCs w:val="24"/>
        </w:rPr>
        <w:t>Died or dead is defined as a patient who dies during their stay in the SAM program after they have been assigned a SAM-Number. For clarity: this includes patients who die in transit from one facility to another. Where a patient with SAM dies during transit from an OTP to an SC/IPF, the death should be recorded as death within the program and assigned to the OTP report. If the child was previously reported as “defaulter unconfirmed” and is subsequently found to have died, this should be notified in a subsequent monthly report in the “change of category section.” A note is made in the registration book and the SC/IPF chart or OTP chart.</w:t>
      </w:r>
    </w:p>
    <w:p w14:paraId="4096DFF2" w14:textId="77777777" w:rsidR="0041572E" w:rsidRDefault="0041572E" w:rsidP="0041572E">
      <w:pPr>
        <w:spacing w:line="276" w:lineRule="auto"/>
        <w:jc w:val="both"/>
        <w:rPr>
          <w:rFonts w:ascii="Times New Roman" w:hAnsi="Times New Roman" w:cs="Times New Roman"/>
          <w:b/>
          <w:bCs/>
          <w:sz w:val="24"/>
          <w:szCs w:val="24"/>
        </w:rPr>
      </w:pPr>
      <w:r w:rsidRPr="008129E0">
        <w:rPr>
          <w:rFonts w:ascii="Times New Roman" w:hAnsi="Times New Roman" w:cs="Times New Roman"/>
          <w:b/>
          <w:bCs/>
          <w:sz w:val="24"/>
          <w:szCs w:val="24"/>
        </w:rPr>
        <w:t>Defaulter-Confirmed:</w:t>
      </w:r>
    </w:p>
    <w:p w14:paraId="771A1476" w14:textId="77777777" w:rsidR="0041572E" w:rsidRPr="005E4B33" w:rsidRDefault="0041572E" w:rsidP="0041572E">
      <w:pPr>
        <w:spacing w:line="276" w:lineRule="auto"/>
        <w:ind w:left="720"/>
        <w:jc w:val="both"/>
        <w:rPr>
          <w:rFonts w:ascii="Times New Roman" w:hAnsi="Times New Roman" w:cs="Times New Roman"/>
          <w:sz w:val="24"/>
          <w:szCs w:val="24"/>
        </w:rPr>
      </w:pPr>
      <w:r w:rsidRPr="008E3603">
        <w:rPr>
          <w:rFonts w:ascii="Times New Roman" w:hAnsi="Times New Roman" w:cs="Times New Roman"/>
          <w:sz w:val="24"/>
          <w:szCs w:val="24"/>
        </w:rPr>
        <w:t xml:space="preserve">A defaulter-confirmed is defined as a patient who is absent, without making any arrangements with the staff, for 2 consecutive weightings (14 days in OTP and 2 days in an SC) and without being officially discharged, who is known to be still alive (from home visit, neighbour, </w:t>
      </w:r>
      <w:proofErr w:type="gramStart"/>
      <w:r w:rsidRPr="008E3603">
        <w:rPr>
          <w:rFonts w:ascii="Times New Roman" w:hAnsi="Times New Roman" w:cs="Times New Roman"/>
          <w:sz w:val="24"/>
          <w:szCs w:val="24"/>
        </w:rPr>
        <w:t>volunteer</w:t>
      </w:r>
      <w:proofErr w:type="gramEnd"/>
      <w:r w:rsidRPr="008E3603">
        <w:rPr>
          <w:rFonts w:ascii="Times New Roman" w:hAnsi="Times New Roman" w:cs="Times New Roman"/>
          <w:sz w:val="24"/>
          <w:szCs w:val="24"/>
        </w:rPr>
        <w:t xml:space="preserve"> or outreach worker’s feedback).</w:t>
      </w:r>
    </w:p>
    <w:p w14:paraId="3E8FF2FF" w14:textId="77777777" w:rsidR="0041572E" w:rsidRDefault="0041572E" w:rsidP="0041572E">
      <w:pPr>
        <w:spacing w:line="276" w:lineRule="auto"/>
        <w:jc w:val="both"/>
        <w:rPr>
          <w:rFonts w:ascii="Times New Roman" w:hAnsi="Times New Roman" w:cs="Times New Roman"/>
          <w:sz w:val="24"/>
          <w:szCs w:val="24"/>
        </w:rPr>
      </w:pPr>
      <w:r w:rsidRPr="008129E0">
        <w:rPr>
          <w:rFonts w:ascii="Times New Roman" w:hAnsi="Times New Roman" w:cs="Times New Roman"/>
          <w:b/>
          <w:bCs/>
          <w:sz w:val="24"/>
          <w:szCs w:val="24"/>
        </w:rPr>
        <w:t>Medical referral/Non respondent:</w:t>
      </w:r>
      <w:r>
        <w:rPr>
          <w:rFonts w:ascii="Times New Roman" w:hAnsi="Times New Roman" w:cs="Times New Roman"/>
          <w:sz w:val="24"/>
          <w:szCs w:val="24"/>
        </w:rPr>
        <w:t xml:space="preserve"> </w:t>
      </w:r>
    </w:p>
    <w:p w14:paraId="5A3A041E" w14:textId="7C58B7C9" w:rsidR="0089019C" w:rsidRDefault="0041572E" w:rsidP="0041572E">
      <w:pPr>
        <w:rPr>
          <w:rFonts w:ascii="Times New Roman" w:hAnsi="Times New Roman" w:cs="Times New Roman"/>
          <w:color w:val="FF0000"/>
          <w:sz w:val="24"/>
          <w:szCs w:val="24"/>
        </w:rPr>
      </w:pPr>
      <w:r w:rsidRPr="008E3603">
        <w:rPr>
          <w:rFonts w:ascii="Times New Roman" w:hAnsi="Times New Roman" w:cs="Times New Roman"/>
          <w:sz w:val="24"/>
          <w:szCs w:val="24"/>
        </w:rPr>
        <w:t xml:space="preserve">Medical referral is defined as a patient who has a serious underlying illness that requires treatment beyond the scope of the SC for SAM (or is suspected of having such a condition that requires diagnostic tests beyond the capacity of the SC/IPF) and is referred to another service which takes over the complete management of the child. This is counted as the patient leaving the IMAM program for management </w:t>
      </w:r>
      <w:r w:rsidRPr="004B35FF">
        <w:rPr>
          <w:rFonts w:ascii="Times New Roman" w:hAnsi="Times New Roman" w:cs="Times New Roman"/>
          <w:color w:val="FF0000"/>
          <w:sz w:val="24"/>
          <w:szCs w:val="24"/>
        </w:rPr>
        <w:t>by another ser</w:t>
      </w:r>
    </w:p>
    <w:p w14:paraId="728F931A" w14:textId="090B3AAB" w:rsidR="004B35FF" w:rsidRPr="004B35FF" w:rsidRDefault="004B35FF" w:rsidP="0041572E">
      <w:pPr>
        <w:rPr>
          <w:rFonts w:ascii="Times New Roman" w:hAnsi="Times New Roman" w:cs="Times New Roman"/>
          <w:sz w:val="24"/>
          <w:szCs w:val="24"/>
        </w:rPr>
      </w:pPr>
    </w:p>
    <w:p w14:paraId="6EB1F081" w14:textId="0A9F92D1" w:rsidR="004B35FF" w:rsidRDefault="004B35FF">
      <w:pPr>
        <w:rPr>
          <w:rFonts w:ascii="Times New Roman" w:hAnsi="Times New Roman" w:cs="Times New Roman"/>
          <w:sz w:val="24"/>
          <w:szCs w:val="24"/>
        </w:rPr>
      </w:pPr>
      <w:r>
        <w:rPr>
          <w:rFonts w:ascii="Times New Roman" w:hAnsi="Times New Roman" w:cs="Times New Roman"/>
          <w:sz w:val="24"/>
          <w:szCs w:val="24"/>
        </w:rPr>
        <w:br w:type="page"/>
      </w:r>
    </w:p>
    <w:p w14:paraId="03F434ED" w14:textId="77777777" w:rsidR="00202769" w:rsidRPr="00842C73" w:rsidRDefault="00202769" w:rsidP="00202769">
      <w:pPr>
        <w:rPr>
          <w:rFonts w:ascii="Amasis MT Pro" w:hAnsi="Amasis MT Pro"/>
        </w:rPr>
      </w:pPr>
      <w:r w:rsidRPr="00842C73">
        <w:rPr>
          <w:rFonts w:ascii="Amasis MT Pro" w:hAnsi="Amasis MT Pro"/>
        </w:rPr>
        <w:lastRenderedPageBreak/>
        <w:t xml:space="preserve">The WHO definition of malnutrition refers to deficiencies, excesses, or imbalances in a person’s intake of energy and/or nutrients(World Health Organization, 2023). The term malnutrition addresses three broad groups of conditions: </w:t>
      </w:r>
    </w:p>
    <w:p w14:paraId="4A9F1282" w14:textId="77777777" w:rsidR="00202769" w:rsidRPr="00842C73" w:rsidRDefault="00202769" w:rsidP="00202769">
      <w:pPr>
        <w:ind w:left="720"/>
        <w:rPr>
          <w:rFonts w:ascii="Amasis MT Pro" w:hAnsi="Amasis MT Pro"/>
        </w:rPr>
      </w:pPr>
      <w:r w:rsidRPr="00842C73">
        <w:rPr>
          <w:rFonts w:ascii="Amasis MT Pro" w:hAnsi="Amasis MT Pro"/>
          <w:b/>
          <w:bCs/>
        </w:rPr>
        <w:t>Undernutrition</w:t>
      </w:r>
      <w:r w:rsidRPr="00842C73">
        <w:rPr>
          <w:rFonts w:ascii="Amasis MT Pro" w:hAnsi="Amasis MT Pro"/>
        </w:rPr>
        <w:t xml:space="preserve">, which includes wasting (low weight-for-height), stunting (low height-for-age) and underweight (low weight-for-age). </w:t>
      </w:r>
    </w:p>
    <w:p w14:paraId="5395D7B9" w14:textId="77777777" w:rsidR="00202769" w:rsidRDefault="00202769" w:rsidP="00202769">
      <w:pPr>
        <w:ind w:left="720"/>
        <w:rPr>
          <w:rFonts w:ascii="Amasis MT Pro" w:hAnsi="Amasis MT Pro"/>
        </w:rPr>
      </w:pPr>
      <w:r w:rsidRPr="008B2340">
        <w:rPr>
          <w:rFonts w:ascii="Amasis MT Pro" w:hAnsi="Amasis MT Pro"/>
          <w:b/>
          <w:bCs/>
        </w:rPr>
        <w:t>Micronutrient-related malnutrition</w:t>
      </w:r>
      <w:r w:rsidRPr="00842C73">
        <w:rPr>
          <w:rFonts w:ascii="Amasis MT Pro" w:hAnsi="Amasis MT Pro"/>
        </w:rPr>
        <w:t>, which includes micronutrient deficiencies (a lack of important vitamins and minerals) or micronutrient excess</w:t>
      </w:r>
      <w:r>
        <w:rPr>
          <w:rFonts w:ascii="Amasis MT Pro" w:hAnsi="Amasis MT Pro"/>
        </w:rPr>
        <w:t xml:space="preserve"> </w:t>
      </w:r>
      <w:r w:rsidRPr="00842C73">
        <w:rPr>
          <w:rFonts w:ascii="Amasis MT Pro" w:hAnsi="Amasis MT Pro"/>
        </w:rPr>
        <w:t xml:space="preserve">and </w:t>
      </w:r>
    </w:p>
    <w:p w14:paraId="3681AD86" w14:textId="77777777" w:rsidR="00202769" w:rsidRPr="000F2057" w:rsidRDefault="00202769" w:rsidP="00202769">
      <w:pPr>
        <w:ind w:left="720"/>
        <w:rPr>
          <w:rFonts w:ascii="Amasis MT Pro" w:hAnsi="Amasis MT Pro"/>
        </w:rPr>
      </w:pPr>
      <w:r w:rsidRPr="000F2057">
        <w:rPr>
          <w:rFonts w:ascii="Amasis MT Pro" w:hAnsi="Amasis MT Pro"/>
          <w:b/>
          <w:bCs/>
        </w:rPr>
        <w:t>Overweight, obesity and diet-related noncommunicable diseases</w:t>
      </w:r>
      <w:r w:rsidRPr="00842C73">
        <w:rPr>
          <w:rFonts w:ascii="Amasis MT Pro" w:hAnsi="Amasis MT Pro"/>
        </w:rPr>
        <w:t xml:space="preserve"> (such as heart disease, stroke, </w:t>
      </w:r>
      <w:proofErr w:type="gramStart"/>
      <w:r w:rsidRPr="00842C73">
        <w:rPr>
          <w:rFonts w:ascii="Amasis MT Pro" w:hAnsi="Amasis MT Pro"/>
        </w:rPr>
        <w:t>diabetes</w:t>
      </w:r>
      <w:proofErr w:type="gramEnd"/>
      <w:r>
        <w:rPr>
          <w:rFonts w:ascii="Amasis MT Pro" w:hAnsi="Amasis MT Pro"/>
        </w:rPr>
        <w:t xml:space="preserve"> </w:t>
      </w:r>
      <w:r w:rsidRPr="00842C73">
        <w:rPr>
          <w:rFonts w:ascii="Amasis MT Pro" w:hAnsi="Amasis MT Pro"/>
        </w:rPr>
        <w:t xml:space="preserve">and some cancers) (World Health Organization, 2023). </w:t>
      </w:r>
    </w:p>
    <w:p w14:paraId="27EAB4F0" w14:textId="77777777" w:rsidR="00202769" w:rsidRDefault="00202769" w:rsidP="00202769">
      <w:pPr>
        <w:rPr>
          <w:rFonts w:ascii="Amasis MT Pro" w:hAnsi="Amasis MT Pro"/>
          <w:i/>
          <w:iCs/>
        </w:rPr>
      </w:pPr>
    </w:p>
    <w:p w14:paraId="722C2B0F" w14:textId="77777777" w:rsidR="00202769" w:rsidRPr="00842C73" w:rsidRDefault="00202769" w:rsidP="00202769">
      <w:pPr>
        <w:rPr>
          <w:rFonts w:ascii="Amasis MT Pro" w:hAnsi="Amasis MT Pro"/>
        </w:rPr>
      </w:pPr>
      <w:r w:rsidRPr="00B3160F">
        <w:rPr>
          <w:rFonts w:ascii="Amasis MT Pro" w:hAnsi="Amasis MT Pro"/>
          <w:i/>
          <w:iCs/>
        </w:rPr>
        <w:t>Acute malnutrition in children under 5 years of age</w:t>
      </w:r>
      <w:r w:rsidRPr="00842C73">
        <w:rPr>
          <w:rFonts w:ascii="Amasis MT Pro" w:hAnsi="Amasis MT Pro"/>
        </w:rPr>
        <w:t xml:space="preserve"> is defined as having a weight-for-height or weight-for-length z-score more than 2 SD below the median of the WHO child growth standards (WHZ or WLZ &lt; -2) or having nutritional oedema. Again, a MUAC less than 125mm can be used as an alternative measure to define acute malnutrition alongside weight-for-height and nutritional oedema.(World Health Organization, 2023).</w:t>
      </w:r>
    </w:p>
    <w:p w14:paraId="237CD06B" w14:textId="77777777" w:rsidR="00202769" w:rsidRPr="008B2340" w:rsidRDefault="00202769" w:rsidP="00202769">
      <w:pPr>
        <w:pStyle w:val="ListParagraph"/>
        <w:numPr>
          <w:ilvl w:val="0"/>
          <w:numId w:val="1"/>
        </w:numPr>
        <w:rPr>
          <w:rFonts w:ascii="Amasis MT Pro" w:hAnsi="Amasis MT Pro"/>
        </w:rPr>
      </w:pPr>
      <w:r w:rsidRPr="008B2340">
        <w:rPr>
          <w:rFonts w:ascii="Amasis MT Pro" w:hAnsi="Amasis MT Pro"/>
        </w:rPr>
        <w:t>Severe acute malnutrition (SAM):  is defined as nutritional oedema and/or WHZ or WLZ &lt; -3 and/or MUAC &lt;115mm(World Health Organization, 2023).</w:t>
      </w:r>
    </w:p>
    <w:p w14:paraId="065456FE" w14:textId="77777777" w:rsidR="00202769" w:rsidRPr="008B2340" w:rsidRDefault="00202769" w:rsidP="00202769">
      <w:pPr>
        <w:pStyle w:val="ListParagraph"/>
        <w:numPr>
          <w:ilvl w:val="0"/>
          <w:numId w:val="1"/>
        </w:numPr>
        <w:rPr>
          <w:rFonts w:ascii="Amasis MT Pro" w:hAnsi="Amasis MT Pro"/>
        </w:rPr>
      </w:pPr>
      <w:r w:rsidRPr="008B2340">
        <w:rPr>
          <w:rFonts w:ascii="Amasis MT Pro" w:hAnsi="Amasis MT Pro"/>
        </w:rPr>
        <w:t xml:space="preserve">Nutritional oedema is bilateral pitting oedema which starts in the feet and can progress up to the legs and the rest of the body, including the face. It is </w:t>
      </w:r>
      <w:proofErr w:type="spellStart"/>
      <w:r w:rsidRPr="008B2340">
        <w:rPr>
          <w:rFonts w:ascii="Amasis MT Pro" w:hAnsi="Amasis MT Pro"/>
        </w:rPr>
        <w:t>pathognomic</w:t>
      </w:r>
      <w:proofErr w:type="spellEnd"/>
      <w:r w:rsidRPr="008B2340">
        <w:rPr>
          <w:rFonts w:ascii="Amasis MT Pro" w:hAnsi="Amasis MT Pro"/>
        </w:rPr>
        <w:t xml:space="preserve"> of severe acute malnutrition. Clinical assessments for undernutrition should include an assessment for nutritional oedema(World Health Organization, 2023).</w:t>
      </w:r>
    </w:p>
    <w:p w14:paraId="6C99F1A3" w14:textId="77777777" w:rsidR="00202769" w:rsidRPr="00842C73" w:rsidRDefault="00202769" w:rsidP="00202769">
      <w:pPr>
        <w:rPr>
          <w:rFonts w:ascii="Amasis MT Pro" w:hAnsi="Amasis MT Pro"/>
        </w:rPr>
      </w:pPr>
      <w:r w:rsidRPr="00842C73">
        <w:rPr>
          <w:rFonts w:ascii="Amasis MT Pro" w:hAnsi="Amasis MT Pro"/>
        </w:rPr>
        <w:t>Severe acute malnutrition is one of the most common causes of morbidity and mortality among children aged under 5 years worldwide. Many severely malnourished children die at home without care, but even when hospital care is provided case fatality rates may be high and around 45% of under 5 years old children is linked to under nutrition.</w:t>
      </w:r>
    </w:p>
    <w:p w14:paraId="68D7F03A" w14:textId="77777777" w:rsidR="00202769" w:rsidRPr="00842C73" w:rsidRDefault="00202769" w:rsidP="00202769">
      <w:pPr>
        <w:rPr>
          <w:rFonts w:ascii="Amasis MT Pro" w:hAnsi="Amasis MT Pro"/>
        </w:rPr>
      </w:pPr>
      <w:r w:rsidRPr="00842C73">
        <w:rPr>
          <w:rFonts w:ascii="Amasis MT Pro" w:hAnsi="Amasis MT Pro"/>
        </w:rPr>
        <w:t>Severely malnourished children who have medical complications are likely to die due to practices that may be appropriate for most children but dangerous for severely malnourished children. With appropriate case management during inpatient care and proper follow-up during outpatient care, the lives of many children can be saved, and severe acute malnutrition wards can dramatically lower the case fatality rates (</w:t>
      </w:r>
      <w:proofErr w:type="spellStart"/>
      <w:r w:rsidRPr="00842C73">
        <w:rPr>
          <w:rFonts w:ascii="Amasis MT Pro" w:hAnsi="Amasis MT Pro"/>
        </w:rPr>
        <w:t>Helwig</w:t>
      </w:r>
      <w:proofErr w:type="spellEnd"/>
      <w:r w:rsidRPr="00842C73">
        <w:rPr>
          <w:rFonts w:ascii="Amasis MT Pro" w:hAnsi="Amasis MT Pro"/>
        </w:rPr>
        <w:t xml:space="preserve"> et al., n.d.)</w:t>
      </w:r>
    </w:p>
    <w:p w14:paraId="26D01D91" w14:textId="77777777" w:rsidR="004B35FF" w:rsidRPr="00DB7D05" w:rsidRDefault="004B35FF" w:rsidP="0041572E">
      <w:pPr>
        <w:rPr>
          <w:rFonts w:ascii="Times New Roman" w:hAnsi="Times New Roman" w:cs="Times New Roman"/>
          <w:sz w:val="24"/>
          <w:szCs w:val="24"/>
        </w:rPr>
      </w:pPr>
    </w:p>
    <w:sectPr w:rsidR="004B35FF" w:rsidRPr="00DB7D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masis MT Pro">
    <w:altName w:val="Amasis MT Pro"/>
    <w:charset w:val="00"/>
    <w:family w:val="roman"/>
    <w:pitch w:val="variable"/>
    <w:sig w:usb0="A00000AF" w:usb1="4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D12A7F"/>
    <w:multiLevelType w:val="hybridMultilevel"/>
    <w:tmpl w:val="2D2C7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95498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4FC"/>
    <w:rsid w:val="00092774"/>
    <w:rsid w:val="00202769"/>
    <w:rsid w:val="0029297E"/>
    <w:rsid w:val="00295DA6"/>
    <w:rsid w:val="002E2A1E"/>
    <w:rsid w:val="0041572E"/>
    <w:rsid w:val="004B35FF"/>
    <w:rsid w:val="005E7969"/>
    <w:rsid w:val="007036BC"/>
    <w:rsid w:val="00864AEC"/>
    <w:rsid w:val="0089019C"/>
    <w:rsid w:val="00AD7189"/>
    <w:rsid w:val="00C464FC"/>
    <w:rsid w:val="00DB7D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C35C6"/>
  <w15:chartTrackingRefBased/>
  <w15:docId w15:val="{E8A78016-761B-4079-9D67-5FE032CF8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6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27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4</Pages>
  <Words>1066</Words>
  <Characters>6077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Mohamed Mahmoud</dc:creator>
  <cp:keywords/>
  <dc:description/>
  <cp:lastModifiedBy>ALI, Mohamed Mahmoud</cp:lastModifiedBy>
  <cp:revision>8</cp:revision>
  <dcterms:created xsi:type="dcterms:W3CDTF">2023-05-10T19:38:00Z</dcterms:created>
  <dcterms:modified xsi:type="dcterms:W3CDTF">2024-02-09T13:38:00Z</dcterms:modified>
</cp:coreProperties>
</file>