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1F285" w14:textId="25CEB802" w:rsidR="00687EBF" w:rsidRPr="004A6E5A" w:rsidRDefault="00687EBF" w:rsidP="00CE70C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17C9D9" w14:textId="26787F34" w:rsidR="00687EBF" w:rsidRPr="004A6E5A" w:rsidRDefault="002F30BD" w:rsidP="00CE70C5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4A6E5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Appendix </w:t>
      </w:r>
      <w:r w:rsidRPr="004A6E5A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begin"/>
      </w:r>
      <w:r w:rsidRPr="004A6E5A">
        <w:rPr>
          <w:rFonts w:ascii="Times New Roman" w:hAnsi="Times New Roman" w:cs="Times New Roman"/>
          <w:b/>
          <w:bCs/>
          <w:color w:val="auto"/>
          <w:sz w:val="24"/>
          <w:szCs w:val="24"/>
        </w:rPr>
        <w:instrText xml:space="preserve"> SEQ Table \* ARABIC </w:instrText>
      </w:r>
      <w:r w:rsidRPr="004A6E5A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separate"/>
      </w:r>
      <w:r w:rsidRPr="004A6E5A">
        <w:rPr>
          <w:rFonts w:ascii="Times New Roman" w:hAnsi="Times New Roman" w:cs="Times New Roman"/>
          <w:b/>
          <w:bCs/>
          <w:color w:val="auto"/>
          <w:sz w:val="24"/>
          <w:szCs w:val="24"/>
        </w:rPr>
        <w:t>1</w:t>
      </w:r>
      <w:r w:rsidRPr="004A6E5A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end"/>
      </w:r>
      <w:r w:rsidRPr="004A6E5A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Robson ten</w:t>
      </w:r>
      <w:r w:rsidRPr="004A6E5A">
        <w:rPr>
          <w:rFonts w:ascii="Times New Roman" w:eastAsia="Calibri" w:hAnsi="Times New Roman" w:cs="Times New Roman"/>
          <w:b/>
          <w:bCs/>
          <w:color w:val="auto"/>
          <w:sz w:val="24"/>
          <w:szCs w:val="24"/>
        </w:rPr>
        <w:t>-</w:t>
      </w:r>
      <w:r w:rsidRPr="004A6E5A">
        <w:rPr>
          <w:rFonts w:ascii="Times New Roman" w:hAnsi="Times New Roman" w:cs="Times New Roman"/>
          <w:b/>
          <w:bCs/>
          <w:color w:val="auto"/>
          <w:sz w:val="24"/>
          <w:szCs w:val="24"/>
        </w:rPr>
        <w:t>group delivery classification system</w:t>
      </w:r>
    </w:p>
    <w:tbl>
      <w:tblPr>
        <w:tblStyle w:val="TableGrid"/>
        <w:tblW w:w="9640" w:type="dxa"/>
        <w:tblLayout w:type="fixed"/>
        <w:tblLook w:val="04A0" w:firstRow="1" w:lastRow="0" w:firstColumn="1" w:lastColumn="0" w:noHBand="0" w:noVBand="1"/>
      </w:tblPr>
      <w:tblGrid>
        <w:gridCol w:w="913"/>
        <w:gridCol w:w="500"/>
        <w:gridCol w:w="8227"/>
      </w:tblGrid>
      <w:tr w:rsidR="00301631" w:rsidRPr="004A6E5A" w14:paraId="773A88AC" w14:textId="77777777" w:rsidTr="003F7EE3">
        <w:trPr>
          <w:trHeight w:val="177"/>
        </w:trPr>
        <w:tc>
          <w:tcPr>
            <w:tcW w:w="913" w:type="dxa"/>
          </w:tcPr>
          <w:p w14:paraId="4CA74B2B" w14:textId="77777777" w:rsidR="00687EBF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8727" w:type="dxa"/>
            <w:gridSpan w:val="2"/>
          </w:tcPr>
          <w:p w14:paraId="48FB9972" w14:textId="77777777" w:rsidR="00687EBF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301631" w:rsidRPr="004A6E5A" w14:paraId="31D0F4B4" w14:textId="77777777" w:rsidTr="003F7EE3">
        <w:trPr>
          <w:trHeight w:val="184"/>
        </w:trPr>
        <w:tc>
          <w:tcPr>
            <w:tcW w:w="913" w:type="dxa"/>
          </w:tcPr>
          <w:p w14:paraId="1B9A1BA8" w14:textId="77777777" w:rsidR="00687EBF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27" w:type="dxa"/>
            <w:gridSpan w:val="2"/>
          </w:tcPr>
          <w:p w14:paraId="0223C88A" w14:textId="77777777" w:rsidR="00687EBF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Nulliparous, singleton, cephalic, ≥37 weeks’ gestation, in spontaneous labor</w:t>
            </w:r>
          </w:p>
        </w:tc>
      </w:tr>
      <w:tr w:rsidR="00301631" w:rsidRPr="004A6E5A" w14:paraId="459F5B5F" w14:textId="77777777" w:rsidTr="003F7EE3">
        <w:trPr>
          <w:trHeight w:val="361"/>
        </w:trPr>
        <w:tc>
          <w:tcPr>
            <w:tcW w:w="913" w:type="dxa"/>
          </w:tcPr>
          <w:p w14:paraId="38487B6E" w14:textId="77777777" w:rsidR="00687EBF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27" w:type="dxa"/>
            <w:gridSpan w:val="2"/>
          </w:tcPr>
          <w:p w14:paraId="4FB3F3DE" w14:textId="77777777" w:rsidR="00687EBF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Nulliparous, singleton, cephalic, ≥37 weeks’ gestation, induced labour or caesarean section before labour</w:t>
            </w:r>
          </w:p>
        </w:tc>
      </w:tr>
      <w:tr w:rsidR="00301631" w:rsidRPr="004A6E5A" w14:paraId="7E5C93AA" w14:textId="7D02EF5E" w:rsidTr="003F7EE3">
        <w:trPr>
          <w:trHeight w:val="177"/>
        </w:trPr>
        <w:tc>
          <w:tcPr>
            <w:tcW w:w="913" w:type="dxa"/>
            <w:vMerge w:val="restart"/>
          </w:tcPr>
          <w:p w14:paraId="0D812F8B" w14:textId="612A0C0B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" w:type="dxa"/>
          </w:tcPr>
          <w:p w14:paraId="3009ADC8" w14:textId="249BC171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227" w:type="dxa"/>
          </w:tcPr>
          <w:p w14:paraId="74A5F111" w14:textId="5F633214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Nulliparous, singleton, cephalic, ≥37 weeks’ gestation, induced labour</w:t>
            </w:r>
          </w:p>
        </w:tc>
      </w:tr>
      <w:tr w:rsidR="00301631" w:rsidRPr="004A6E5A" w14:paraId="68D92C99" w14:textId="5931FFB4" w:rsidTr="003F7EE3">
        <w:trPr>
          <w:trHeight w:val="177"/>
        </w:trPr>
        <w:tc>
          <w:tcPr>
            <w:tcW w:w="913" w:type="dxa"/>
            <w:vMerge/>
          </w:tcPr>
          <w:p w14:paraId="4099E1EF" w14:textId="6C7CACF7" w:rsidR="003F7EE3" w:rsidRPr="004A6E5A" w:rsidRDefault="003F7EE3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</w:tcPr>
          <w:p w14:paraId="6A7D6D5B" w14:textId="0658BFC1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227" w:type="dxa"/>
          </w:tcPr>
          <w:p w14:paraId="6E2B7EFE" w14:textId="137E96DF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Nulliparous, singleton, cephalic, ≥37 weeks’ gestation, caesarean section before labour</w:t>
            </w:r>
          </w:p>
        </w:tc>
      </w:tr>
      <w:tr w:rsidR="00301631" w:rsidRPr="004A6E5A" w14:paraId="376B4688" w14:textId="77777777" w:rsidTr="003F7EE3">
        <w:trPr>
          <w:trHeight w:val="361"/>
        </w:trPr>
        <w:tc>
          <w:tcPr>
            <w:tcW w:w="913" w:type="dxa"/>
          </w:tcPr>
          <w:p w14:paraId="6E90E30A" w14:textId="77777777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27" w:type="dxa"/>
            <w:gridSpan w:val="2"/>
          </w:tcPr>
          <w:p w14:paraId="4762E155" w14:textId="7777777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Multiparous (excluding previous caesarean section), singleton, cephalic, ≥37 weeks’ gestation, in spontaneous labour</w:t>
            </w:r>
          </w:p>
        </w:tc>
      </w:tr>
      <w:tr w:rsidR="00301631" w:rsidRPr="004A6E5A" w14:paraId="20DE7A82" w14:textId="77777777" w:rsidTr="003F7EE3">
        <w:trPr>
          <w:trHeight w:val="361"/>
        </w:trPr>
        <w:tc>
          <w:tcPr>
            <w:tcW w:w="913" w:type="dxa"/>
          </w:tcPr>
          <w:p w14:paraId="297DA247" w14:textId="77777777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27" w:type="dxa"/>
            <w:gridSpan w:val="2"/>
          </w:tcPr>
          <w:p w14:paraId="53C75396" w14:textId="7777777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Multiparous without a previous uterine scar, with singleton, cephalic pregnancy, ≥37 weeks’ gestation, induced or caesarean section before labour.</w:t>
            </w:r>
          </w:p>
        </w:tc>
      </w:tr>
      <w:tr w:rsidR="00301631" w:rsidRPr="004A6E5A" w14:paraId="49A79A08" w14:textId="378EA1E2" w:rsidTr="003F7EE3">
        <w:trPr>
          <w:trHeight w:val="361"/>
        </w:trPr>
        <w:tc>
          <w:tcPr>
            <w:tcW w:w="913" w:type="dxa"/>
            <w:vMerge w:val="restart"/>
          </w:tcPr>
          <w:p w14:paraId="120E9EFA" w14:textId="583F2AED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" w:type="dxa"/>
          </w:tcPr>
          <w:p w14:paraId="55F596D0" w14:textId="6E5A052B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227" w:type="dxa"/>
          </w:tcPr>
          <w:p w14:paraId="75E52D72" w14:textId="073EFDF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Multiparous without a previous uterine scar, with singleton, cephalic pregnancy, ≥37 weeks’ gestation, induced labour</w:t>
            </w:r>
          </w:p>
        </w:tc>
      </w:tr>
      <w:tr w:rsidR="00301631" w:rsidRPr="004A6E5A" w14:paraId="2B06E1D9" w14:textId="2F29DBC5" w:rsidTr="003F7EE3">
        <w:trPr>
          <w:trHeight w:val="361"/>
        </w:trPr>
        <w:tc>
          <w:tcPr>
            <w:tcW w:w="913" w:type="dxa"/>
            <w:vMerge/>
          </w:tcPr>
          <w:p w14:paraId="3DCCF109" w14:textId="4288D83D" w:rsidR="003F7EE3" w:rsidRPr="004A6E5A" w:rsidRDefault="003F7EE3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</w:tcPr>
          <w:p w14:paraId="7A47AEB9" w14:textId="0E8522FB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227" w:type="dxa"/>
          </w:tcPr>
          <w:p w14:paraId="73E0F346" w14:textId="3D04D7B2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Multiparous without a previous uterine scar, with singleton, cephalic pregnancy, ≥37 weeks’ gestation, caesarean section before labour</w:t>
            </w:r>
          </w:p>
        </w:tc>
      </w:tr>
      <w:tr w:rsidR="00301631" w:rsidRPr="004A6E5A" w14:paraId="02F03BF4" w14:textId="77777777" w:rsidTr="003F7EE3">
        <w:trPr>
          <w:trHeight w:val="184"/>
        </w:trPr>
        <w:tc>
          <w:tcPr>
            <w:tcW w:w="913" w:type="dxa"/>
          </w:tcPr>
          <w:p w14:paraId="42131839" w14:textId="77777777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27" w:type="dxa"/>
            <w:gridSpan w:val="2"/>
          </w:tcPr>
          <w:p w14:paraId="71952D1A" w14:textId="7777777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Previous caesarean section, singleton, cephalic, ≥37 weeks’ gestation</w:t>
            </w:r>
          </w:p>
        </w:tc>
      </w:tr>
      <w:tr w:rsidR="00301631" w:rsidRPr="004A6E5A" w14:paraId="782D5E6F" w14:textId="77777777" w:rsidTr="003F7EE3">
        <w:trPr>
          <w:trHeight w:val="177"/>
        </w:trPr>
        <w:tc>
          <w:tcPr>
            <w:tcW w:w="913" w:type="dxa"/>
          </w:tcPr>
          <w:p w14:paraId="5538BCB5" w14:textId="77777777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27" w:type="dxa"/>
            <w:gridSpan w:val="2"/>
          </w:tcPr>
          <w:p w14:paraId="7CAC4704" w14:textId="7777777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All nulliparous with a single breech</w:t>
            </w:r>
          </w:p>
        </w:tc>
      </w:tr>
      <w:tr w:rsidR="00301631" w:rsidRPr="004A6E5A" w14:paraId="6A7051FF" w14:textId="77777777" w:rsidTr="003F7EE3">
        <w:trPr>
          <w:trHeight w:val="177"/>
        </w:trPr>
        <w:tc>
          <w:tcPr>
            <w:tcW w:w="913" w:type="dxa"/>
          </w:tcPr>
          <w:p w14:paraId="7F8CBD6F" w14:textId="77777777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27" w:type="dxa"/>
            <w:gridSpan w:val="2"/>
          </w:tcPr>
          <w:p w14:paraId="554C47EE" w14:textId="7777777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All multiparous with a single breech (including previous caesarean section)</w:t>
            </w:r>
          </w:p>
        </w:tc>
      </w:tr>
      <w:tr w:rsidR="00301631" w:rsidRPr="004A6E5A" w14:paraId="1785377B" w14:textId="77777777" w:rsidTr="003F7EE3">
        <w:trPr>
          <w:trHeight w:val="184"/>
        </w:trPr>
        <w:tc>
          <w:tcPr>
            <w:tcW w:w="913" w:type="dxa"/>
          </w:tcPr>
          <w:p w14:paraId="720689FC" w14:textId="77777777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27" w:type="dxa"/>
            <w:gridSpan w:val="2"/>
          </w:tcPr>
          <w:p w14:paraId="7FE88D64" w14:textId="7777777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All multiple pregnancies (including previous caesarean section)</w:t>
            </w:r>
          </w:p>
        </w:tc>
      </w:tr>
      <w:tr w:rsidR="00301631" w:rsidRPr="004A6E5A" w14:paraId="20B8166C" w14:textId="77777777" w:rsidTr="003F7EE3">
        <w:trPr>
          <w:trHeight w:val="354"/>
        </w:trPr>
        <w:tc>
          <w:tcPr>
            <w:tcW w:w="913" w:type="dxa"/>
          </w:tcPr>
          <w:p w14:paraId="6CAE30CA" w14:textId="77777777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27" w:type="dxa"/>
            <w:gridSpan w:val="2"/>
          </w:tcPr>
          <w:p w14:paraId="71929DAE" w14:textId="7777777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All women with a single pregnancy in transverse or oblique lie (including those with previous caesarean section)</w:t>
            </w:r>
          </w:p>
        </w:tc>
      </w:tr>
      <w:tr w:rsidR="00301631" w:rsidRPr="004A6E5A" w14:paraId="19C3F358" w14:textId="77777777" w:rsidTr="003F7EE3">
        <w:trPr>
          <w:trHeight w:val="361"/>
        </w:trPr>
        <w:tc>
          <w:tcPr>
            <w:tcW w:w="913" w:type="dxa"/>
          </w:tcPr>
          <w:p w14:paraId="5140EA9A" w14:textId="77777777" w:rsidR="003F7EE3" w:rsidRPr="004A6E5A" w:rsidRDefault="00372A1E" w:rsidP="00CE70C5">
            <w:pPr>
              <w:pStyle w:val="PlainText"/>
              <w:spacing w:line="480" w:lineRule="auto"/>
              <w:ind w:right="-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727" w:type="dxa"/>
            <w:gridSpan w:val="2"/>
          </w:tcPr>
          <w:p w14:paraId="4274E6B8" w14:textId="77777777" w:rsidR="003F7EE3" w:rsidRPr="004A6E5A" w:rsidRDefault="00372A1E" w:rsidP="00CE70C5">
            <w:pPr>
              <w:pStyle w:val="PlainText"/>
              <w:spacing w:line="480" w:lineRule="auto"/>
              <w:ind w:righ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E5A">
              <w:rPr>
                <w:rFonts w:ascii="Times New Roman" w:hAnsi="Times New Roman" w:cs="Times New Roman"/>
                <w:sz w:val="24"/>
                <w:szCs w:val="24"/>
              </w:rPr>
              <w:t>All singleton, cephalic, &lt;37 weeks’ gestation pregnancies (including previous caesarean section).</w:t>
            </w:r>
          </w:p>
        </w:tc>
      </w:tr>
    </w:tbl>
    <w:p w14:paraId="0D5B29EC" w14:textId="77777777" w:rsidR="00687EBF" w:rsidRPr="004A6E5A" w:rsidRDefault="00687EBF" w:rsidP="00CE70C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87EBF" w:rsidRPr="004A6E5A" w:rsidSect="002D05C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CB88C" w14:textId="77777777" w:rsidR="002D05C7" w:rsidRDefault="002D05C7" w:rsidP="00CE70C5">
      <w:pPr>
        <w:spacing w:after="0" w:line="240" w:lineRule="auto"/>
      </w:pPr>
      <w:r>
        <w:separator/>
      </w:r>
    </w:p>
  </w:endnote>
  <w:endnote w:type="continuationSeparator" w:id="0">
    <w:p w14:paraId="03C778C2" w14:textId="77777777" w:rsidR="002D05C7" w:rsidRDefault="002D05C7" w:rsidP="00CE70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469E0" w14:textId="77777777" w:rsidR="002D05C7" w:rsidRDefault="002D05C7" w:rsidP="00CE70C5">
      <w:pPr>
        <w:spacing w:after="0" w:line="240" w:lineRule="auto"/>
      </w:pPr>
      <w:r>
        <w:separator/>
      </w:r>
    </w:p>
  </w:footnote>
  <w:footnote w:type="continuationSeparator" w:id="0">
    <w:p w14:paraId="265912FB" w14:textId="77777777" w:rsidR="002D05C7" w:rsidRDefault="002D05C7" w:rsidP="00CE70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508FF"/>
    <w:multiLevelType w:val="hybridMultilevel"/>
    <w:tmpl w:val="95E26398"/>
    <w:lvl w:ilvl="0" w:tplc="A606CB88">
      <w:start w:val="1"/>
      <w:numFmt w:val="decimal"/>
      <w:lvlText w:val="%1."/>
      <w:lvlJc w:val="left"/>
      <w:pPr>
        <w:ind w:left="720" w:hanging="360"/>
      </w:pPr>
    </w:lvl>
    <w:lvl w:ilvl="1" w:tplc="BCB631A0" w:tentative="1">
      <w:start w:val="1"/>
      <w:numFmt w:val="lowerLetter"/>
      <w:lvlText w:val="%2."/>
      <w:lvlJc w:val="left"/>
      <w:pPr>
        <w:ind w:left="1440" w:hanging="360"/>
      </w:pPr>
    </w:lvl>
    <w:lvl w:ilvl="2" w:tplc="2EC80116" w:tentative="1">
      <w:start w:val="1"/>
      <w:numFmt w:val="lowerRoman"/>
      <w:lvlText w:val="%3."/>
      <w:lvlJc w:val="right"/>
      <w:pPr>
        <w:ind w:left="2160" w:hanging="180"/>
      </w:pPr>
    </w:lvl>
    <w:lvl w:ilvl="3" w:tplc="0E10F2E6" w:tentative="1">
      <w:start w:val="1"/>
      <w:numFmt w:val="decimal"/>
      <w:lvlText w:val="%4."/>
      <w:lvlJc w:val="left"/>
      <w:pPr>
        <w:ind w:left="2880" w:hanging="360"/>
      </w:pPr>
    </w:lvl>
    <w:lvl w:ilvl="4" w:tplc="24FACC66" w:tentative="1">
      <w:start w:val="1"/>
      <w:numFmt w:val="lowerLetter"/>
      <w:lvlText w:val="%5."/>
      <w:lvlJc w:val="left"/>
      <w:pPr>
        <w:ind w:left="3600" w:hanging="360"/>
      </w:pPr>
    </w:lvl>
    <w:lvl w:ilvl="5" w:tplc="FC0AC3DC" w:tentative="1">
      <w:start w:val="1"/>
      <w:numFmt w:val="lowerRoman"/>
      <w:lvlText w:val="%6."/>
      <w:lvlJc w:val="right"/>
      <w:pPr>
        <w:ind w:left="4320" w:hanging="180"/>
      </w:pPr>
    </w:lvl>
    <w:lvl w:ilvl="6" w:tplc="512C98D6" w:tentative="1">
      <w:start w:val="1"/>
      <w:numFmt w:val="decimal"/>
      <w:lvlText w:val="%7."/>
      <w:lvlJc w:val="left"/>
      <w:pPr>
        <w:ind w:left="5040" w:hanging="360"/>
      </w:pPr>
    </w:lvl>
    <w:lvl w:ilvl="7" w:tplc="DE028306" w:tentative="1">
      <w:start w:val="1"/>
      <w:numFmt w:val="lowerLetter"/>
      <w:lvlText w:val="%8."/>
      <w:lvlJc w:val="left"/>
      <w:pPr>
        <w:ind w:left="5760" w:hanging="360"/>
      </w:pPr>
    </w:lvl>
    <w:lvl w:ilvl="8" w:tplc="F94218F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1039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ine&lt;/Style&gt;&lt;LeftDelim&gt;{&lt;/LeftDelim&gt;&lt;RightDelim&gt;}&lt;/RightDelim&gt;&lt;FontName&gt;Calibri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29xp2xws00eeqetv0ixz9s4wpp2xttvttae&quot;&gt;My EndNote Library&lt;record-ids&gt;&lt;item&gt;220&lt;/item&gt;&lt;item&gt;281&lt;/item&gt;&lt;item&gt;282&lt;/item&gt;&lt;item&gt;286&lt;/item&gt;&lt;item&gt;287&lt;/item&gt;&lt;item&gt;289&lt;/item&gt;&lt;item&gt;298&lt;/item&gt;&lt;item&gt;299&lt;/item&gt;&lt;item&gt;301&lt;/item&gt;&lt;item&gt;302&lt;/item&gt;&lt;item&gt;303&lt;/item&gt;&lt;item&gt;304&lt;/item&gt;&lt;item&gt;313&lt;/item&gt;&lt;item&gt;314&lt;/item&gt;&lt;item&gt;315&lt;/item&gt;&lt;item&gt;316&lt;/item&gt;&lt;item&gt;317&lt;/item&gt;&lt;item&gt;355&lt;/item&gt;&lt;item&gt;356&lt;/item&gt;&lt;/record-ids&gt;&lt;/item&gt;&lt;/Libraries&gt;"/>
  </w:docVars>
  <w:rsids>
    <w:rsidRoot w:val="001D0D5A"/>
    <w:rsid w:val="00040A3E"/>
    <w:rsid w:val="00041BC7"/>
    <w:rsid w:val="00051BD3"/>
    <w:rsid w:val="00055B48"/>
    <w:rsid w:val="00067469"/>
    <w:rsid w:val="00072A5E"/>
    <w:rsid w:val="00075B65"/>
    <w:rsid w:val="00076589"/>
    <w:rsid w:val="000B6F06"/>
    <w:rsid w:val="000C7128"/>
    <w:rsid w:val="000C7138"/>
    <w:rsid w:val="000D2693"/>
    <w:rsid w:val="000F0044"/>
    <w:rsid w:val="000F2510"/>
    <w:rsid w:val="000F30E7"/>
    <w:rsid w:val="0011161C"/>
    <w:rsid w:val="001142AC"/>
    <w:rsid w:val="00122C8F"/>
    <w:rsid w:val="00130627"/>
    <w:rsid w:val="001415DC"/>
    <w:rsid w:val="001523DA"/>
    <w:rsid w:val="001633DF"/>
    <w:rsid w:val="00163995"/>
    <w:rsid w:val="00165D85"/>
    <w:rsid w:val="00176F57"/>
    <w:rsid w:val="00181758"/>
    <w:rsid w:val="00184C69"/>
    <w:rsid w:val="00196134"/>
    <w:rsid w:val="001970D1"/>
    <w:rsid w:val="001A20F1"/>
    <w:rsid w:val="001A6ED3"/>
    <w:rsid w:val="001B15AC"/>
    <w:rsid w:val="001C2CFE"/>
    <w:rsid w:val="001D0D5A"/>
    <w:rsid w:val="001D6764"/>
    <w:rsid w:val="001E3A34"/>
    <w:rsid w:val="001F10C7"/>
    <w:rsid w:val="002003F6"/>
    <w:rsid w:val="00200FD5"/>
    <w:rsid w:val="00202874"/>
    <w:rsid w:val="002178D4"/>
    <w:rsid w:val="002244EC"/>
    <w:rsid w:val="00245ECB"/>
    <w:rsid w:val="0025351F"/>
    <w:rsid w:val="00262436"/>
    <w:rsid w:val="00266839"/>
    <w:rsid w:val="00267FA5"/>
    <w:rsid w:val="00273AD3"/>
    <w:rsid w:val="00283B54"/>
    <w:rsid w:val="00290702"/>
    <w:rsid w:val="002A508C"/>
    <w:rsid w:val="002B0487"/>
    <w:rsid w:val="002C32A4"/>
    <w:rsid w:val="002C4127"/>
    <w:rsid w:val="002D05C7"/>
    <w:rsid w:val="002D1637"/>
    <w:rsid w:val="002E1A2E"/>
    <w:rsid w:val="002E1B8A"/>
    <w:rsid w:val="002E7DB6"/>
    <w:rsid w:val="002F125A"/>
    <w:rsid w:val="002F30BD"/>
    <w:rsid w:val="002F4B4F"/>
    <w:rsid w:val="002F7AB4"/>
    <w:rsid w:val="00301631"/>
    <w:rsid w:val="00301EF6"/>
    <w:rsid w:val="003069A8"/>
    <w:rsid w:val="00312EFA"/>
    <w:rsid w:val="00324A8A"/>
    <w:rsid w:val="00333239"/>
    <w:rsid w:val="00336ABA"/>
    <w:rsid w:val="00363857"/>
    <w:rsid w:val="003727C0"/>
    <w:rsid w:val="00372A1E"/>
    <w:rsid w:val="0037432D"/>
    <w:rsid w:val="0038199C"/>
    <w:rsid w:val="00387CE5"/>
    <w:rsid w:val="003A6AFB"/>
    <w:rsid w:val="003B3CDA"/>
    <w:rsid w:val="003D0894"/>
    <w:rsid w:val="003D1F21"/>
    <w:rsid w:val="003F4191"/>
    <w:rsid w:val="003F735B"/>
    <w:rsid w:val="003F7EE3"/>
    <w:rsid w:val="00425FAD"/>
    <w:rsid w:val="00451927"/>
    <w:rsid w:val="004522D0"/>
    <w:rsid w:val="00453A80"/>
    <w:rsid w:val="00494E57"/>
    <w:rsid w:val="00495C1C"/>
    <w:rsid w:val="004A11FB"/>
    <w:rsid w:val="004A6E5A"/>
    <w:rsid w:val="004A6E61"/>
    <w:rsid w:val="004C5977"/>
    <w:rsid w:val="004D1189"/>
    <w:rsid w:val="00501068"/>
    <w:rsid w:val="0050381A"/>
    <w:rsid w:val="00511653"/>
    <w:rsid w:val="00514B02"/>
    <w:rsid w:val="00526682"/>
    <w:rsid w:val="00532C40"/>
    <w:rsid w:val="0054219A"/>
    <w:rsid w:val="005473E1"/>
    <w:rsid w:val="00551747"/>
    <w:rsid w:val="005522D1"/>
    <w:rsid w:val="00570693"/>
    <w:rsid w:val="00573C2A"/>
    <w:rsid w:val="00573F15"/>
    <w:rsid w:val="00592E43"/>
    <w:rsid w:val="00596A31"/>
    <w:rsid w:val="005A1939"/>
    <w:rsid w:val="005A2D08"/>
    <w:rsid w:val="005B3381"/>
    <w:rsid w:val="005B74B4"/>
    <w:rsid w:val="005D2437"/>
    <w:rsid w:val="005D47F6"/>
    <w:rsid w:val="005E7E08"/>
    <w:rsid w:val="005F7508"/>
    <w:rsid w:val="005F7F14"/>
    <w:rsid w:val="00605A30"/>
    <w:rsid w:val="00612EBD"/>
    <w:rsid w:val="00620D30"/>
    <w:rsid w:val="0062557D"/>
    <w:rsid w:val="0064299C"/>
    <w:rsid w:val="00645AEB"/>
    <w:rsid w:val="00646187"/>
    <w:rsid w:val="00652B36"/>
    <w:rsid w:val="00657FCB"/>
    <w:rsid w:val="00663BB6"/>
    <w:rsid w:val="006819D6"/>
    <w:rsid w:val="00687EBF"/>
    <w:rsid w:val="00690478"/>
    <w:rsid w:val="00692A28"/>
    <w:rsid w:val="00693F6D"/>
    <w:rsid w:val="00694E87"/>
    <w:rsid w:val="006A5F19"/>
    <w:rsid w:val="006C04AD"/>
    <w:rsid w:val="006D0A77"/>
    <w:rsid w:val="006E6E81"/>
    <w:rsid w:val="006F3AF2"/>
    <w:rsid w:val="006F6B30"/>
    <w:rsid w:val="0071432A"/>
    <w:rsid w:val="00726158"/>
    <w:rsid w:val="0074335F"/>
    <w:rsid w:val="007546B6"/>
    <w:rsid w:val="00757A6F"/>
    <w:rsid w:val="0078005A"/>
    <w:rsid w:val="00792B35"/>
    <w:rsid w:val="007A37E1"/>
    <w:rsid w:val="007A3873"/>
    <w:rsid w:val="007B1A0A"/>
    <w:rsid w:val="007B2492"/>
    <w:rsid w:val="007C2014"/>
    <w:rsid w:val="007D1E73"/>
    <w:rsid w:val="007D74E1"/>
    <w:rsid w:val="007D754D"/>
    <w:rsid w:val="007E5E25"/>
    <w:rsid w:val="007E75C7"/>
    <w:rsid w:val="00800384"/>
    <w:rsid w:val="00800AA1"/>
    <w:rsid w:val="008279A5"/>
    <w:rsid w:val="00836BE7"/>
    <w:rsid w:val="00837E2C"/>
    <w:rsid w:val="008443B9"/>
    <w:rsid w:val="00856D44"/>
    <w:rsid w:val="00860005"/>
    <w:rsid w:val="00875711"/>
    <w:rsid w:val="00884D48"/>
    <w:rsid w:val="008909CB"/>
    <w:rsid w:val="0089112E"/>
    <w:rsid w:val="0089338B"/>
    <w:rsid w:val="00895BEF"/>
    <w:rsid w:val="008A128E"/>
    <w:rsid w:val="008C4411"/>
    <w:rsid w:val="008E54A0"/>
    <w:rsid w:val="008E7B4B"/>
    <w:rsid w:val="00904DAB"/>
    <w:rsid w:val="00905643"/>
    <w:rsid w:val="0091567A"/>
    <w:rsid w:val="00916857"/>
    <w:rsid w:val="00920E6A"/>
    <w:rsid w:val="00920E99"/>
    <w:rsid w:val="009363AB"/>
    <w:rsid w:val="00937F86"/>
    <w:rsid w:val="009440C2"/>
    <w:rsid w:val="00951E15"/>
    <w:rsid w:val="009767A3"/>
    <w:rsid w:val="009817D2"/>
    <w:rsid w:val="009874F8"/>
    <w:rsid w:val="009A18E7"/>
    <w:rsid w:val="009A2FD4"/>
    <w:rsid w:val="009A719D"/>
    <w:rsid w:val="009B5A9B"/>
    <w:rsid w:val="009C3DF6"/>
    <w:rsid w:val="009E6D80"/>
    <w:rsid w:val="009E79F3"/>
    <w:rsid w:val="009F0401"/>
    <w:rsid w:val="009F3348"/>
    <w:rsid w:val="00A0543A"/>
    <w:rsid w:val="00A16419"/>
    <w:rsid w:val="00A26FBD"/>
    <w:rsid w:val="00A61B00"/>
    <w:rsid w:val="00A71E93"/>
    <w:rsid w:val="00A7311D"/>
    <w:rsid w:val="00A75ACC"/>
    <w:rsid w:val="00A75D89"/>
    <w:rsid w:val="00A874A7"/>
    <w:rsid w:val="00A87DBC"/>
    <w:rsid w:val="00A945EA"/>
    <w:rsid w:val="00A95522"/>
    <w:rsid w:val="00AA7A50"/>
    <w:rsid w:val="00AB5B58"/>
    <w:rsid w:val="00AC2298"/>
    <w:rsid w:val="00AC2A93"/>
    <w:rsid w:val="00AC7B1D"/>
    <w:rsid w:val="00AE1B84"/>
    <w:rsid w:val="00AF7362"/>
    <w:rsid w:val="00B05B38"/>
    <w:rsid w:val="00B17E23"/>
    <w:rsid w:val="00B5226C"/>
    <w:rsid w:val="00B62427"/>
    <w:rsid w:val="00B733E2"/>
    <w:rsid w:val="00B74A8A"/>
    <w:rsid w:val="00BB112E"/>
    <w:rsid w:val="00BC0F3F"/>
    <w:rsid w:val="00BC0FAC"/>
    <w:rsid w:val="00BE18B7"/>
    <w:rsid w:val="00BE3A66"/>
    <w:rsid w:val="00BF5509"/>
    <w:rsid w:val="00C002BA"/>
    <w:rsid w:val="00C16E7E"/>
    <w:rsid w:val="00C873DD"/>
    <w:rsid w:val="00C8792B"/>
    <w:rsid w:val="00C90A25"/>
    <w:rsid w:val="00C935C3"/>
    <w:rsid w:val="00CB1AA0"/>
    <w:rsid w:val="00CB638D"/>
    <w:rsid w:val="00CB744A"/>
    <w:rsid w:val="00CD1B77"/>
    <w:rsid w:val="00CE0656"/>
    <w:rsid w:val="00CE70C5"/>
    <w:rsid w:val="00D027B8"/>
    <w:rsid w:val="00D06E42"/>
    <w:rsid w:val="00D360AD"/>
    <w:rsid w:val="00D4092F"/>
    <w:rsid w:val="00D450B2"/>
    <w:rsid w:val="00D60390"/>
    <w:rsid w:val="00D668E8"/>
    <w:rsid w:val="00D728F3"/>
    <w:rsid w:val="00D80E47"/>
    <w:rsid w:val="00D86A1F"/>
    <w:rsid w:val="00D9049C"/>
    <w:rsid w:val="00D96C33"/>
    <w:rsid w:val="00DA0D40"/>
    <w:rsid w:val="00DA26B0"/>
    <w:rsid w:val="00DC226A"/>
    <w:rsid w:val="00DC4974"/>
    <w:rsid w:val="00DC5FE7"/>
    <w:rsid w:val="00DD781C"/>
    <w:rsid w:val="00DE575C"/>
    <w:rsid w:val="00DE6BC4"/>
    <w:rsid w:val="00E02F0E"/>
    <w:rsid w:val="00E04E4A"/>
    <w:rsid w:val="00E05DA6"/>
    <w:rsid w:val="00E139AF"/>
    <w:rsid w:val="00E15A9E"/>
    <w:rsid w:val="00E24B09"/>
    <w:rsid w:val="00E26E93"/>
    <w:rsid w:val="00E272DC"/>
    <w:rsid w:val="00E35D8F"/>
    <w:rsid w:val="00E44B1C"/>
    <w:rsid w:val="00E51DAD"/>
    <w:rsid w:val="00E65A26"/>
    <w:rsid w:val="00E67336"/>
    <w:rsid w:val="00E74C98"/>
    <w:rsid w:val="00E758AD"/>
    <w:rsid w:val="00E760C8"/>
    <w:rsid w:val="00E82242"/>
    <w:rsid w:val="00E8498A"/>
    <w:rsid w:val="00E95BAB"/>
    <w:rsid w:val="00EA4895"/>
    <w:rsid w:val="00EB2AAC"/>
    <w:rsid w:val="00EB71C7"/>
    <w:rsid w:val="00EC7D1B"/>
    <w:rsid w:val="00ED05CD"/>
    <w:rsid w:val="00EE630F"/>
    <w:rsid w:val="00EF0BBF"/>
    <w:rsid w:val="00EF3DC2"/>
    <w:rsid w:val="00EF7062"/>
    <w:rsid w:val="00F0444F"/>
    <w:rsid w:val="00F06528"/>
    <w:rsid w:val="00F1192A"/>
    <w:rsid w:val="00F12F86"/>
    <w:rsid w:val="00F317F8"/>
    <w:rsid w:val="00F40C01"/>
    <w:rsid w:val="00F446EE"/>
    <w:rsid w:val="00F460DA"/>
    <w:rsid w:val="00F54D8A"/>
    <w:rsid w:val="00F845F0"/>
    <w:rsid w:val="00F84E33"/>
    <w:rsid w:val="00F8648C"/>
    <w:rsid w:val="00F92C84"/>
    <w:rsid w:val="00FA524E"/>
    <w:rsid w:val="00FB2676"/>
    <w:rsid w:val="00FB3E0D"/>
    <w:rsid w:val="00FB4A57"/>
    <w:rsid w:val="00FC6203"/>
    <w:rsid w:val="00FD5ACF"/>
    <w:rsid w:val="00FE6DD1"/>
    <w:rsid w:val="1384154F"/>
    <w:rsid w:val="6EE3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1882"/>
  <w15:docId w15:val="{E973CAB0-9D02-984A-B03A-69F8E08B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rFonts w:ascii="Consolas" w:hAnsi="Consolas"/>
      <w:sz w:val="21"/>
      <w:szCs w:val="21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qFormat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Pr>
      <w:rFonts w:ascii="Calibri" w:hAnsi="Calibri" w:cs="Calibri"/>
      <w:sz w:val="22"/>
      <w:szCs w:val="22"/>
      <w:lang w:eastAsia="en-US"/>
    </w:rPr>
  </w:style>
  <w:style w:type="paragraph" w:customStyle="1" w:styleId="EndNoteBibliography">
    <w:name w:val="EndNote Bibliography"/>
    <w:basedOn w:val="Normal"/>
    <w:link w:val="EndNoteBibliographyChar"/>
    <w:qFormat/>
    <w:pPr>
      <w:spacing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Calibri" w:hAnsi="Calibri" w:cs="Calibri"/>
      <w:sz w:val="22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PlainTextChar">
    <w:name w:val="Plain Text Char"/>
    <w:basedOn w:val="DefaultParagraphFont"/>
    <w:link w:val="PlainText"/>
    <w:uiPriority w:val="99"/>
    <w:qFormat/>
    <w:rPr>
      <w:rFonts w:ascii="Consolas" w:hAnsi="Consolas"/>
      <w:sz w:val="21"/>
      <w:szCs w:val="21"/>
      <w:lang w:val="en-US"/>
    </w:rPr>
  </w:style>
  <w:style w:type="table" w:customStyle="1" w:styleId="PlainTable51">
    <w:name w:val="Plain Table 51"/>
    <w:basedOn w:val="TableNormal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link w:val="DefaultChar"/>
    <w:qFormat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character" w:customStyle="1" w:styleId="DefaultChar">
    <w:name w:val="Default Char"/>
    <w:basedOn w:val="DefaultParagraphFont"/>
    <w:link w:val="Default"/>
    <w:qFormat/>
    <w:rPr>
      <w:rFonts w:ascii="Calibri" w:eastAsia="Calibri" w:hAnsi="Calibri" w:cs="Calibri"/>
      <w:color w:val="000000"/>
      <w:sz w:val="24"/>
      <w:szCs w:val="24"/>
    </w:rPr>
  </w:style>
  <w:style w:type="table" w:customStyle="1" w:styleId="TableGridLight1">
    <w:name w:val="Table Grid Light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21">
    <w:name w:val="Plain Table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11">
    <w:name w:val="Plain Table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41">
    <w:name w:val="Plain Table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1">
    <w:name w:val="Plain Table 31"/>
    <w:basedOn w:val="TableNormal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qFormat/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paragraph" w:styleId="Revision">
    <w:name w:val="Revision"/>
    <w:hidden/>
    <w:uiPriority w:val="99"/>
    <w:unhideWhenUsed/>
    <w:rsid w:val="00AC2298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F54D8A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54D8A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rsid w:val="00A0543A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3F7E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3F7E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3F7E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E70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70C5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E70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70C5"/>
    <w:rPr>
      <w:sz w:val="22"/>
      <w:szCs w:val="22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CE70C5"/>
  </w:style>
  <w:style w:type="character" w:styleId="UnresolvedMention">
    <w:name w:val="Unresolved Mention"/>
    <w:basedOn w:val="DefaultParagraphFont"/>
    <w:uiPriority w:val="99"/>
    <w:rsid w:val="007143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87897-A98D-4B3A-A3D1-FDFA58BA6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Pebalo Pebolo</dc:creator>
  <cp:lastModifiedBy>Trupti Sudge</cp:lastModifiedBy>
  <cp:revision>2</cp:revision>
  <dcterms:created xsi:type="dcterms:W3CDTF">2024-05-06T05:48:00Z</dcterms:created>
  <dcterms:modified xsi:type="dcterms:W3CDTF">2024-05-06T05:48:00Z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60D241F5A6F94437A1226BC51AE02286_13</vt:lpwstr>
  </property>
  <property fmtid="{D5CDD505-2E9C-101B-9397-08002B2CF9AE}" pid="3" name="KSOProductBuildVer">
    <vt:lpwstr>1033-12.2.0.13489</vt:lpwstr>
  </property>
  <property fmtid="{D5CDD505-2E9C-101B-9397-08002B2CF9AE}" pid="4" name="LE1">
    <vt:filetime>2024-04-21T12:19:30Z</vt:filetime>
  </property>
</Properties>
</file>