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D5517" w14:textId="2CD01DC2" w:rsidR="00B771C2" w:rsidRDefault="00B771C2" w:rsidP="005F6989">
      <w:pPr>
        <w:jc w:val="center"/>
        <w:rPr>
          <w:rFonts w:eastAsiaTheme="majorEastAsia"/>
          <w:b/>
          <w:bCs/>
          <w:color w:val="000000" w:themeColor="text1"/>
          <w:sz w:val="32"/>
          <w:szCs w:val="32"/>
        </w:rPr>
      </w:pPr>
      <w:r>
        <w:rPr>
          <w:rFonts w:eastAsiaTheme="majorEastAsia"/>
          <w:b/>
          <w:bCs/>
          <w:color w:val="000000" w:themeColor="text1"/>
          <w:sz w:val="32"/>
          <w:szCs w:val="32"/>
        </w:rPr>
        <w:t>Supplement</w:t>
      </w:r>
    </w:p>
    <w:p w14:paraId="1A4B2537" w14:textId="77777777" w:rsidR="00B771C2" w:rsidRDefault="00B771C2" w:rsidP="005F6989">
      <w:pPr>
        <w:jc w:val="center"/>
        <w:rPr>
          <w:rFonts w:eastAsiaTheme="majorEastAsia"/>
          <w:b/>
          <w:bCs/>
          <w:color w:val="000000" w:themeColor="text1"/>
          <w:sz w:val="32"/>
          <w:szCs w:val="32"/>
        </w:rPr>
      </w:pPr>
    </w:p>
    <w:p w14:paraId="40EF29AB" w14:textId="053340D7" w:rsidR="0091591D" w:rsidRPr="005F6989" w:rsidRDefault="0091591D" w:rsidP="005F6989">
      <w:pPr>
        <w:jc w:val="center"/>
        <w:rPr>
          <w:rFonts w:eastAsiaTheme="majorEastAsia"/>
          <w:b/>
          <w:bCs/>
          <w:color w:val="000000" w:themeColor="text1"/>
          <w:sz w:val="32"/>
          <w:szCs w:val="32"/>
        </w:rPr>
      </w:pPr>
      <w:r w:rsidRPr="005F6989">
        <w:rPr>
          <w:rFonts w:eastAsiaTheme="majorEastAsia"/>
          <w:b/>
          <w:bCs/>
          <w:color w:val="000000" w:themeColor="text1"/>
          <w:sz w:val="32"/>
          <w:szCs w:val="32"/>
        </w:rPr>
        <w:t xml:space="preserve">Chronic stimulation desensitizes </w:t>
      </w:r>
      <w:r w:rsidR="004F2CF4">
        <w:rPr>
          <w:rFonts w:eastAsiaTheme="majorEastAsia"/>
          <w:b/>
          <w:bCs/>
          <w:color w:val="000000" w:themeColor="text1"/>
          <w:sz w:val="32"/>
          <w:szCs w:val="32"/>
        </w:rPr>
        <w:t>β2</w:t>
      </w:r>
      <w:r w:rsidRPr="005F6989">
        <w:rPr>
          <w:rFonts w:eastAsiaTheme="majorEastAsia"/>
          <w:b/>
          <w:bCs/>
          <w:color w:val="000000" w:themeColor="text1"/>
          <w:sz w:val="32"/>
          <w:szCs w:val="32"/>
        </w:rPr>
        <w:t xml:space="preserve"> adrenergic receptor responses in Natural Killer cells</w:t>
      </w:r>
    </w:p>
    <w:p w14:paraId="33750A78" w14:textId="77777777" w:rsidR="00F26D58" w:rsidRDefault="00F26D58" w:rsidP="00F26D58">
      <w:pPr>
        <w:rPr>
          <w:rFonts w:eastAsiaTheme="majorEastAsia"/>
        </w:rPr>
      </w:pPr>
    </w:p>
    <w:p w14:paraId="5FB8C75B" w14:textId="008BE9DC" w:rsidR="005F6989" w:rsidRPr="00EF4ED1" w:rsidRDefault="00901096" w:rsidP="00612BFA">
      <w:pPr>
        <w:jc w:val="center"/>
        <w:rPr>
          <w:rFonts w:eastAsiaTheme="majorEastAsia"/>
        </w:rPr>
      </w:pPr>
      <w:r w:rsidRPr="00EF4ED1">
        <w:rPr>
          <w:rFonts w:eastAsiaTheme="majorEastAsia"/>
        </w:rPr>
        <w:t>Martin Jürgens</w:t>
      </w:r>
      <w:proofErr w:type="gramStart"/>
      <w:r w:rsidRPr="00EF4ED1">
        <w:rPr>
          <w:rFonts w:eastAsiaTheme="majorEastAsia"/>
          <w:vertAlign w:val="superscript"/>
        </w:rPr>
        <w:t>1</w:t>
      </w:r>
      <w:r w:rsidR="004B1768">
        <w:rPr>
          <w:rFonts w:eastAsiaTheme="majorEastAsia"/>
          <w:vertAlign w:val="superscript"/>
        </w:rPr>
        <w:t>,*</w:t>
      </w:r>
      <w:proofErr w:type="gramEnd"/>
      <w:r w:rsidRPr="00EF4ED1">
        <w:rPr>
          <w:rFonts w:eastAsiaTheme="majorEastAsia"/>
        </w:rPr>
        <w:t>,</w:t>
      </w:r>
      <w:r w:rsidR="005F6989" w:rsidRPr="00EF4ED1">
        <w:rPr>
          <w:rFonts w:eastAsiaTheme="majorEastAsia"/>
        </w:rPr>
        <w:t xml:space="preserve"> </w:t>
      </w:r>
      <w:r w:rsidR="004B1768" w:rsidRPr="00EF4ED1">
        <w:rPr>
          <w:rFonts w:eastAsiaTheme="majorEastAsia"/>
        </w:rPr>
        <w:t>Maren Claus</w:t>
      </w:r>
      <w:r w:rsidR="004B1768" w:rsidRPr="00EF4ED1">
        <w:rPr>
          <w:rFonts w:eastAsiaTheme="majorEastAsia"/>
          <w:vertAlign w:val="superscript"/>
        </w:rPr>
        <w:t>1</w:t>
      </w:r>
      <w:r w:rsidR="004B1768">
        <w:rPr>
          <w:rFonts w:eastAsiaTheme="majorEastAsia"/>
          <w:vertAlign w:val="superscript"/>
        </w:rPr>
        <w:t>,*</w:t>
      </w:r>
      <w:r w:rsidR="004B1768" w:rsidRPr="00EF4ED1">
        <w:rPr>
          <w:rFonts w:eastAsiaTheme="majorEastAsia"/>
        </w:rPr>
        <w:t xml:space="preserve">, </w:t>
      </w:r>
      <w:r w:rsidRPr="00EF4ED1">
        <w:rPr>
          <w:rFonts w:eastAsiaTheme="majorEastAsia"/>
        </w:rPr>
        <w:t>Sabine Wingert</w:t>
      </w:r>
      <w:r w:rsidRPr="00EF4ED1">
        <w:rPr>
          <w:rFonts w:eastAsiaTheme="majorEastAsia"/>
          <w:vertAlign w:val="superscript"/>
        </w:rPr>
        <w:t>1</w:t>
      </w:r>
      <w:r w:rsidRPr="00EF4ED1">
        <w:rPr>
          <w:rFonts w:eastAsiaTheme="majorEastAsia"/>
        </w:rPr>
        <w:t xml:space="preserve">, </w:t>
      </w:r>
      <w:r w:rsidR="00A97405" w:rsidRPr="00EF4ED1">
        <w:rPr>
          <w:rFonts w:eastAsiaTheme="majorEastAsia"/>
        </w:rPr>
        <w:t xml:space="preserve">Jens </w:t>
      </w:r>
      <w:r w:rsidR="00EF4ED1">
        <w:rPr>
          <w:rFonts w:eastAsiaTheme="majorEastAsia"/>
        </w:rPr>
        <w:t xml:space="preserve">Alexander </w:t>
      </w:r>
      <w:r w:rsidR="00A97405" w:rsidRPr="00EF4ED1">
        <w:rPr>
          <w:rFonts w:eastAsiaTheme="majorEastAsia"/>
        </w:rPr>
        <w:t>Niemann</w:t>
      </w:r>
      <w:r w:rsidR="00A97405" w:rsidRPr="00EF4ED1">
        <w:rPr>
          <w:rFonts w:eastAsiaTheme="majorEastAsia"/>
          <w:vertAlign w:val="superscript"/>
        </w:rPr>
        <w:t>1</w:t>
      </w:r>
      <w:r w:rsidR="00A97405" w:rsidRPr="00EF4ED1">
        <w:rPr>
          <w:rFonts w:eastAsiaTheme="majorEastAsia"/>
        </w:rPr>
        <w:t xml:space="preserve">, </w:t>
      </w:r>
      <w:r w:rsidR="00EF4ED1" w:rsidRPr="00EF4ED1">
        <w:rPr>
          <w:rFonts w:eastAsiaTheme="majorEastAsia"/>
        </w:rPr>
        <w:t>Lea Kat</w:t>
      </w:r>
      <w:r w:rsidR="00EF4ED1">
        <w:rPr>
          <w:rFonts w:eastAsiaTheme="majorEastAsia"/>
        </w:rPr>
        <w:t>h</w:t>
      </w:r>
      <w:r w:rsidR="00EF4ED1" w:rsidRPr="00EF4ED1">
        <w:rPr>
          <w:rFonts w:eastAsiaTheme="majorEastAsia"/>
        </w:rPr>
        <w:t>arina Picard</w:t>
      </w:r>
      <w:r w:rsidR="00EF4ED1" w:rsidRPr="00EF4ED1">
        <w:rPr>
          <w:rFonts w:eastAsiaTheme="majorEastAsia"/>
          <w:vertAlign w:val="superscript"/>
        </w:rPr>
        <w:t>1</w:t>
      </w:r>
      <w:r w:rsidR="00EF4ED1" w:rsidRPr="00EF4ED1">
        <w:rPr>
          <w:rFonts w:eastAsiaTheme="majorEastAsia"/>
        </w:rPr>
        <w:t xml:space="preserve">, </w:t>
      </w:r>
      <w:r w:rsidR="00A97405" w:rsidRPr="00EF4ED1">
        <w:rPr>
          <w:rFonts w:eastAsiaTheme="majorEastAsia"/>
        </w:rPr>
        <w:t>Elisabeth Hennes</w:t>
      </w:r>
      <w:r w:rsidR="00A97405" w:rsidRPr="00EF4ED1">
        <w:rPr>
          <w:rFonts w:eastAsiaTheme="majorEastAsia"/>
          <w:vertAlign w:val="superscript"/>
        </w:rPr>
        <w:t>2</w:t>
      </w:r>
      <w:r w:rsidR="00A97405" w:rsidRPr="00EF4ED1">
        <w:rPr>
          <w:rFonts w:eastAsiaTheme="majorEastAsia"/>
        </w:rPr>
        <w:t>, Ina Haasler</w:t>
      </w:r>
      <w:r w:rsidR="00A97405" w:rsidRPr="00EF4ED1">
        <w:rPr>
          <w:rFonts w:eastAsiaTheme="majorEastAsia"/>
          <w:vertAlign w:val="superscript"/>
        </w:rPr>
        <w:t>3</w:t>
      </w:r>
      <w:r w:rsidR="00A97405" w:rsidRPr="00EF4ED1">
        <w:rPr>
          <w:rFonts w:eastAsiaTheme="majorEastAsia"/>
        </w:rPr>
        <w:t xml:space="preserve">, </w:t>
      </w:r>
      <w:proofErr w:type="spellStart"/>
      <w:r w:rsidR="00A97405" w:rsidRPr="00EF4ED1">
        <w:rPr>
          <w:rFonts w:eastAsiaTheme="majorEastAsia"/>
        </w:rPr>
        <w:t>Birte</w:t>
      </w:r>
      <w:proofErr w:type="spellEnd"/>
      <w:r w:rsidR="00A97405" w:rsidRPr="00EF4ED1">
        <w:rPr>
          <w:rFonts w:eastAsiaTheme="majorEastAsia"/>
        </w:rPr>
        <w:t xml:space="preserve"> Hellwig</w:t>
      </w:r>
      <w:r w:rsidR="00383E8E">
        <w:rPr>
          <w:rFonts w:eastAsiaTheme="majorEastAsia"/>
          <w:vertAlign w:val="superscript"/>
        </w:rPr>
        <w:t>5</w:t>
      </w:r>
      <w:r w:rsidR="00A97405" w:rsidRPr="00EF4ED1">
        <w:rPr>
          <w:rFonts w:eastAsiaTheme="majorEastAsia"/>
        </w:rPr>
        <w:t xml:space="preserve">, </w:t>
      </w:r>
      <w:r w:rsidR="002C3E57" w:rsidRPr="002C3E57">
        <w:rPr>
          <w:rFonts w:eastAsiaTheme="majorEastAsia"/>
        </w:rPr>
        <w:t>Nina Overbeck</w:t>
      </w:r>
      <w:r w:rsidR="002C3E57">
        <w:rPr>
          <w:rFonts w:eastAsiaTheme="majorEastAsia"/>
          <w:vertAlign w:val="superscript"/>
        </w:rPr>
        <w:t>6</w:t>
      </w:r>
      <w:r w:rsidR="002C3E57">
        <w:rPr>
          <w:rFonts w:eastAsiaTheme="majorEastAsia"/>
        </w:rPr>
        <w:t xml:space="preserve">, </w:t>
      </w:r>
      <w:proofErr w:type="spellStart"/>
      <w:r w:rsidR="00A97405" w:rsidRPr="00EF4ED1">
        <w:rPr>
          <w:rFonts w:eastAsiaTheme="majorEastAsia"/>
        </w:rPr>
        <w:t>Jörg</w:t>
      </w:r>
      <w:proofErr w:type="spellEnd"/>
      <w:r w:rsidR="00A97405" w:rsidRPr="00EF4ED1">
        <w:rPr>
          <w:rFonts w:eastAsiaTheme="majorEastAsia"/>
        </w:rPr>
        <w:t xml:space="preserve"> Reinders</w:t>
      </w:r>
      <w:r w:rsidR="00383E8E">
        <w:rPr>
          <w:rFonts w:eastAsiaTheme="majorEastAsia"/>
          <w:vertAlign w:val="superscript"/>
        </w:rPr>
        <w:t>6</w:t>
      </w:r>
      <w:r w:rsidR="00A97405" w:rsidRPr="00EF4ED1">
        <w:rPr>
          <w:rFonts w:eastAsiaTheme="majorEastAsia"/>
        </w:rPr>
        <w:t xml:space="preserve">, </w:t>
      </w:r>
      <w:proofErr w:type="spellStart"/>
      <w:r w:rsidR="00A97405" w:rsidRPr="00EF4ED1">
        <w:rPr>
          <w:rFonts w:eastAsiaTheme="majorEastAsia"/>
        </w:rPr>
        <w:t>Jörg</w:t>
      </w:r>
      <w:proofErr w:type="spellEnd"/>
      <w:r w:rsidR="00A97405" w:rsidRPr="00EF4ED1">
        <w:rPr>
          <w:rFonts w:eastAsiaTheme="majorEastAsia"/>
        </w:rPr>
        <w:t xml:space="preserve"> Rahnenführer</w:t>
      </w:r>
      <w:r w:rsidR="00383E8E">
        <w:rPr>
          <w:rFonts w:eastAsiaTheme="majorEastAsia"/>
          <w:vertAlign w:val="superscript"/>
        </w:rPr>
        <w:t>5</w:t>
      </w:r>
      <w:r w:rsidR="00A97405" w:rsidRPr="00EF4ED1">
        <w:rPr>
          <w:rFonts w:eastAsiaTheme="majorEastAsia"/>
        </w:rPr>
        <w:t>, Michaela Schedel</w:t>
      </w:r>
      <w:r w:rsidR="00A97405" w:rsidRPr="00EF4ED1">
        <w:rPr>
          <w:rFonts w:eastAsiaTheme="majorEastAsia"/>
          <w:vertAlign w:val="superscript"/>
        </w:rPr>
        <w:t>3</w:t>
      </w:r>
      <w:r w:rsidR="00383E8E">
        <w:rPr>
          <w:rFonts w:eastAsiaTheme="majorEastAsia"/>
          <w:vertAlign w:val="superscript"/>
        </w:rPr>
        <w:t>, 4</w:t>
      </w:r>
      <w:r w:rsidR="00A97405" w:rsidRPr="00EF4ED1">
        <w:rPr>
          <w:rFonts w:eastAsiaTheme="majorEastAsia"/>
        </w:rPr>
        <w:t xml:space="preserve">, </w:t>
      </w:r>
      <w:r w:rsidR="005F6989" w:rsidRPr="00EF4ED1">
        <w:rPr>
          <w:rFonts w:eastAsiaTheme="majorEastAsia"/>
        </w:rPr>
        <w:t>Silvia Capellino</w:t>
      </w:r>
      <w:r w:rsidRPr="00EF4ED1">
        <w:rPr>
          <w:rFonts w:eastAsiaTheme="majorEastAsia"/>
          <w:vertAlign w:val="superscript"/>
        </w:rPr>
        <w:t>1</w:t>
      </w:r>
      <w:r w:rsidR="00B64037">
        <w:rPr>
          <w:rFonts w:eastAsiaTheme="majorEastAsia"/>
          <w:vertAlign w:val="superscript"/>
        </w:rPr>
        <w:t>,</w:t>
      </w:r>
      <w:r w:rsidR="00145005">
        <w:rPr>
          <w:rFonts w:eastAsiaTheme="majorEastAsia"/>
          <w:vertAlign w:val="superscript"/>
        </w:rPr>
        <w:t>#</w:t>
      </w:r>
      <w:r w:rsidR="005F6989" w:rsidRPr="00EF4ED1">
        <w:rPr>
          <w:rFonts w:eastAsiaTheme="majorEastAsia"/>
        </w:rPr>
        <w:t xml:space="preserve"> and Carsten Watzl</w:t>
      </w:r>
      <w:r w:rsidRPr="00EF4ED1">
        <w:rPr>
          <w:rFonts w:eastAsiaTheme="majorEastAsia"/>
          <w:vertAlign w:val="superscript"/>
        </w:rPr>
        <w:t>1</w:t>
      </w:r>
      <w:r w:rsidR="00B64037">
        <w:rPr>
          <w:rFonts w:eastAsiaTheme="majorEastAsia"/>
          <w:vertAlign w:val="superscript"/>
        </w:rPr>
        <w:t>,</w:t>
      </w:r>
      <w:r w:rsidR="00145005">
        <w:rPr>
          <w:rFonts w:eastAsiaTheme="majorEastAsia"/>
          <w:vertAlign w:val="superscript"/>
        </w:rPr>
        <w:t>#</w:t>
      </w:r>
    </w:p>
    <w:p w14:paraId="1FF680A2" w14:textId="77777777" w:rsidR="00EF1691" w:rsidRPr="00EF4ED1" w:rsidRDefault="00EF1691" w:rsidP="005F6989">
      <w:pPr>
        <w:rPr>
          <w:rFonts w:eastAsiaTheme="majorEastAsia"/>
        </w:rPr>
      </w:pPr>
    </w:p>
    <w:p w14:paraId="72B6405D" w14:textId="77777777" w:rsidR="005F6989" w:rsidRPr="00EF4ED1" w:rsidRDefault="005F6989" w:rsidP="005F6989">
      <w:pPr>
        <w:rPr>
          <w:rFonts w:eastAsiaTheme="majorEastAsia"/>
        </w:rPr>
      </w:pPr>
    </w:p>
    <w:p w14:paraId="54D02C9D" w14:textId="0974DC14" w:rsidR="005F6989" w:rsidRDefault="00A97405" w:rsidP="005F6989">
      <w:pPr>
        <w:rPr>
          <w:rFonts w:eastAsiaTheme="majorEastAsia"/>
        </w:rPr>
      </w:pPr>
      <w:r w:rsidRPr="00A97405">
        <w:rPr>
          <w:rFonts w:eastAsiaTheme="majorEastAsia"/>
          <w:vertAlign w:val="superscript"/>
        </w:rPr>
        <w:t>1</w:t>
      </w:r>
      <w:r w:rsidR="005F6989" w:rsidRPr="005F6989">
        <w:rPr>
          <w:rFonts w:eastAsiaTheme="majorEastAsia"/>
        </w:rPr>
        <w:t>Department for Immunology, Leibniz Research Centre for Working Environment and Human Factors (IfADo) at TU Dortmund, Dortmund, Germany.</w:t>
      </w:r>
    </w:p>
    <w:p w14:paraId="2BA2B4A6" w14:textId="18E765D5" w:rsidR="00001814" w:rsidRDefault="00001814" w:rsidP="005F6989">
      <w:pPr>
        <w:rPr>
          <w:rFonts w:eastAsiaTheme="majorEastAsia"/>
        </w:rPr>
      </w:pPr>
      <w:r>
        <w:rPr>
          <w:rFonts w:eastAsiaTheme="majorEastAsia"/>
          <w:vertAlign w:val="superscript"/>
        </w:rPr>
        <w:t>2</w:t>
      </w:r>
      <w:r w:rsidRPr="00001814">
        <w:rPr>
          <w:rFonts w:eastAsiaTheme="majorEastAsia"/>
        </w:rPr>
        <w:t>Max Planck Institute of Molecular Physiology, Dortmund, Germany</w:t>
      </w:r>
    </w:p>
    <w:p w14:paraId="492E8FAE" w14:textId="45D4EAFC" w:rsidR="00001814" w:rsidRDefault="00001814" w:rsidP="005F6989">
      <w:pPr>
        <w:rPr>
          <w:rFonts w:eastAsiaTheme="majorEastAsia"/>
        </w:rPr>
      </w:pPr>
      <w:r>
        <w:rPr>
          <w:rFonts w:eastAsiaTheme="majorEastAsia"/>
          <w:vertAlign w:val="superscript"/>
        </w:rPr>
        <w:t>3</w:t>
      </w:r>
      <w:r w:rsidR="00383E8E" w:rsidRPr="00383E8E">
        <w:rPr>
          <w:rFonts w:eastAsiaTheme="majorEastAsia"/>
        </w:rPr>
        <w:t>Department of Pulmonary Medicine, University Medicine Essen-University Hospital-</w:t>
      </w:r>
      <w:proofErr w:type="spellStart"/>
      <w:r w:rsidR="00383E8E" w:rsidRPr="00383E8E">
        <w:rPr>
          <w:rFonts w:eastAsiaTheme="majorEastAsia"/>
        </w:rPr>
        <w:t>Ruhrlandklinik</w:t>
      </w:r>
      <w:proofErr w:type="spellEnd"/>
      <w:r w:rsidR="00383E8E" w:rsidRPr="00383E8E">
        <w:rPr>
          <w:rFonts w:eastAsiaTheme="majorEastAsia"/>
        </w:rPr>
        <w:t>, Essen, Germany.</w:t>
      </w:r>
    </w:p>
    <w:p w14:paraId="7B6E1297" w14:textId="1F1B9864" w:rsidR="00383E8E" w:rsidRPr="00383E8E" w:rsidRDefault="00383E8E" w:rsidP="005F6989">
      <w:pPr>
        <w:rPr>
          <w:rFonts w:eastAsiaTheme="majorEastAsia"/>
        </w:rPr>
      </w:pPr>
      <w:r>
        <w:rPr>
          <w:rFonts w:eastAsiaTheme="majorEastAsia"/>
          <w:vertAlign w:val="superscript"/>
        </w:rPr>
        <w:t>4</w:t>
      </w:r>
      <w:r w:rsidRPr="00383E8E">
        <w:rPr>
          <w:rFonts w:eastAsiaTheme="majorEastAsia"/>
        </w:rPr>
        <w:t>Department of Pulmonary Medicine, University Medicine Essen-University Hospital, Essen, Germany.</w:t>
      </w:r>
    </w:p>
    <w:p w14:paraId="35C3608C" w14:textId="42FF9475" w:rsidR="00001814" w:rsidRDefault="00383E8E" w:rsidP="005F6989">
      <w:pPr>
        <w:rPr>
          <w:rFonts w:eastAsiaTheme="majorEastAsia"/>
        </w:rPr>
      </w:pPr>
      <w:r>
        <w:rPr>
          <w:rFonts w:eastAsiaTheme="majorEastAsia"/>
          <w:vertAlign w:val="superscript"/>
        </w:rPr>
        <w:t>5</w:t>
      </w:r>
      <w:r w:rsidR="00CF741D" w:rsidRPr="00CF741D">
        <w:rPr>
          <w:rFonts w:eastAsiaTheme="majorEastAsia"/>
        </w:rPr>
        <w:t>Department of Statistics, TU Dortmund University, Dortmund, Germany</w:t>
      </w:r>
    </w:p>
    <w:p w14:paraId="580D3BE2" w14:textId="1E3CE74A" w:rsidR="00001814" w:rsidRDefault="00383E8E" w:rsidP="00001814">
      <w:pPr>
        <w:rPr>
          <w:rFonts w:eastAsiaTheme="majorEastAsia"/>
        </w:rPr>
      </w:pPr>
      <w:r>
        <w:rPr>
          <w:rFonts w:eastAsiaTheme="majorEastAsia"/>
          <w:vertAlign w:val="superscript"/>
        </w:rPr>
        <w:t>6</w:t>
      </w:r>
      <w:r w:rsidR="00001814">
        <w:rPr>
          <w:rFonts w:eastAsiaTheme="majorEastAsia"/>
        </w:rPr>
        <w:t>Analytical Chemistry</w:t>
      </w:r>
      <w:r w:rsidR="00001814" w:rsidRPr="005F6989">
        <w:rPr>
          <w:rFonts w:eastAsiaTheme="majorEastAsia"/>
        </w:rPr>
        <w:t>, Leibniz Research Centre for Working Environment and Human Factors (IfADo) at TU Dortmund, Dortmund, Germany.</w:t>
      </w:r>
    </w:p>
    <w:p w14:paraId="514C7467" w14:textId="77777777" w:rsidR="005F6989" w:rsidRPr="005F6989" w:rsidRDefault="005F6989" w:rsidP="005F6989">
      <w:pPr>
        <w:rPr>
          <w:rFonts w:eastAsiaTheme="majorEastAsia"/>
        </w:rPr>
      </w:pPr>
    </w:p>
    <w:p w14:paraId="566F8EAB" w14:textId="77777777" w:rsidR="00B771C2" w:rsidRDefault="00B771C2" w:rsidP="005854BF">
      <w:pPr>
        <w:rPr>
          <w:rFonts w:eastAsiaTheme="majorEastAsia"/>
        </w:rPr>
      </w:pPr>
    </w:p>
    <w:p w14:paraId="214A6EEF" w14:textId="07DAE415" w:rsidR="00CD326B" w:rsidRPr="00B771C2" w:rsidRDefault="00B771C2" w:rsidP="005854BF">
      <w:pPr>
        <w:rPr>
          <w:rFonts w:eastAsiaTheme="majorEastAsia"/>
        </w:rPr>
      </w:pPr>
      <w:r>
        <w:rPr>
          <w:rFonts w:eastAsiaTheme="majorEastAsia"/>
        </w:rPr>
        <w:br w:type="page"/>
      </w:r>
    </w:p>
    <w:p w14:paraId="266A309E" w14:textId="337103AB" w:rsidR="005854BF" w:rsidRDefault="00CD326B" w:rsidP="005854BF">
      <w:r>
        <w:rPr>
          <w:noProof/>
        </w:rPr>
        <w:lastRenderedPageBreak/>
        <w:drawing>
          <wp:inline distT="0" distB="0" distL="0" distR="0" wp14:anchorId="11A68F04" wp14:editId="0B0C1C0F">
            <wp:extent cx="5422900" cy="5918200"/>
            <wp:effectExtent l="0" t="0" r="0" b="0"/>
            <wp:docPr id="853450539" name="Grafik 1" descr="Ein Bild, das Text, Diagramm, Pla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450539" name="Grafik 1" descr="Ein Bild, das Text, Diagramm, Plan, Schrif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22900" cy="5918200"/>
                    </a:xfrm>
                    <a:prstGeom prst="rect">
                      <a:avLst/>
                    </a:prstGeom>
                  </pic:spPr>
                </pic:pic>
              </a:graphicData>
            </a:graphic>
          </wp:inline>
        </w:drawing>
      </w:r>
    </w:p>
    <w:p w14:paraId="52D7DBAA" w14:textId="13C04F59" w:rsidR="005854BF" w:rsidRPr="005854BF" w:rsidRDefault="005854BF" w:rsidP="00CD326B">
      <w:pPr>
        <w:jc w:val="both"/>
        <w:rPr>
          <w:b/>
          <w:bCs/>
        </w:rPr>
      </w:pPr>
      <w:r w:rsidRPr="005854BF">
        <w:rPr>
          <w:b/>
          <w:bCs/>
        </w:rPr>
        <w:t xml:space="preserve">Figure S1. Adrenergic receptor expression and titration of </w:t>
      </w:r>
      <w:r w:rsidR="002F1598">
        <w:rPr>
          <w:b/>
          <w:bCs/>
        </w:rPr>
        <w:t>epinephrine</w:t>
      </w:r>
    </w:p>
    <w:p w14:paraId="3E12E06D" w14:textId="5A133208" w:rsidR="005854BF" w:rsidRDefault="005854BF" w:rsidP="00CD326B">
      <w:pPr>
        <w:jc w:val="both"/>
      </w:pPr>
      <w:r>
        <w:t xml:space="preserve">(A) Adrenergic receptor expression analysis of peripheral blood mononuclear cells (PBMC). </w:t>
      </w:r>
      <w:r w:rsidR="00CD326B">
        <w:t>Subsets were assigned according to the following markers: B cells (CD19+), NK cells (CD56+, CD3-), CD56 dim (CD56dim, CD3-), CD56 bright (CD56bright, CD3-), NK-T cells (CD56+, CD3+), T cells (CD3+), Monocytes (FSC/SSC).</w:t>
      </w:r>
      <w:r>
        <w:t xml:space="preserve"> PBMCs were analyzed by flow cytometry (n=8). (B) Cultured NK cells were pretreated with </w:t>
      </w:r>
      <w:r w:rsidR="002F1598">
        <w:t>epinephrine</w:t>
      </w:r>
      <w:r>
        <w:t xml:space="preserve"> as indicated and stimulated by IL12/IL18 (6h). Supernatant was measured for IFN</w:t>
      </w:r>
      <w:r>
        <w:rPr>
          <w:rFonts w:ascii="Cambria Math" w:hAnsi="Cambria Math" w:cs="Cambria Math"/>
        </w:rPr>
        <w:t>𝛾</w:t>
      </w:r>
      <w:r>
        <w:t xml:space="preserve"> by ELISA (n=5). (C) The LFA-1 activity of cultured NK cells was determined by LC-AA. NK cells were treated with </w:t>
      </w:r>
      <w:r w:rsidR="002F1598">
        <w:t>epinephrine</w:t>
      </w:r>
      <w:r w:rsidR="00CD326B">
        <w:t xml:space="preserve"> </w:t>
      </w:r>
      <w:r>
        <w:t xml:space="preserve">(left) or </w:t>
      </w:r>
      <w:r w:rsidR="001741F1">
        <w:t>indacaterol</w:t>
      </w:r>
      <w:r>
        <w:t xml:space="preserve"> (right) at indicated concentrations. Cells were stimulated by crosslinking NKG2D/2B4 antibodies (n=3-6). (D) Cultured NK cells were pretreated with 1µM </w:t>
      </w:r>
      <w:r w:rsidR="002F1598">
        <w:t>epinephrine</w:t>
      </w:r>
      <w:r>
        <w:t xml:space="preserve"> or </w:t>
      </w:r>
      <w:r w:rsidR="001741F1">
        <w:t>indacaterol</w:t>
      </w:r>
      <w:r>
        <w:t xml:space="preserve"> and stimulated by K562 (left panel) or IL12/IL18 (right panel) for 6h. Supernatant was measured for IFN</w:t>
      </w:r>
      <w:r>
        <w:rPr>
          <w:rFonts w:ascii="Cambria Math" w:hAnsi="Cambria Math" w:cs="Cambria Math"/>
        </w:rPr>
        <w:t>𝛾</w:t>
      </w:r>
      <w:r>
        <w:t xml:space="preserve"> secretion by ELISA (K562 n=8, IL12/18 n=10)). Results were statistically analyzed by one-way ANOVA test, **, P&lt;0.01, *, P&lt;0.05)</w:t>
      </w:r>
    </w:p>
    <w:p w14:paraId="75387D00" w14:textId="77777777" w:rsidR="005854BF" w:rsidRDefault="005854BF" w:rsidP="005854BF"/>
    <w:p w14:paraId="6189F21C" w14:textId="76331972" w:rsidR="00CD326B" w:rsidRDefault="003A7038" w:rsidP="005854BF">
      <w:r>
        <w:rPr>
          <w:noProof/>
        </w:rPr>
        <w:lastRenderedPageBreak/>
        <w:drawing>
          <wp:inline distT="0" distB="0" distL="0" distR="0" wp14:anchorId="21641E7B" wp14:editId="50709B8C">
            <wp:extent cx="4089400" cy="2679700"/>
            <wp:effectExtent l="0" t="0" r="0" b="0"/>
            <wp:docPr id="20515283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528344" name="Grafik 20515283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89400" cy="2679700"/>
                    </a:xfrm>
                    <a:prstGeom prst="rect">
                      <a:avLst/>
                    </a:prstGeom>
                  </pic:spPr>
                </pic:pic>
              </a:graphicData>
            </a:graphic>
          </wp:inline>
        </w:drawing>
      </w:r>
    </w:p>
    <w:p w14:paraId="5E091AB5" w14:textId="5BD57EF7" w:rsidR="005854BF" w:rsidRPr="005854BF" w:rsidRDefault="005854BF" w:rsidP="00CD326B">
      <w:pPr>
        <w:jc w:val="both"/>
        <w:rPr>
          <w:b/>
          <w:bCs/>
        </w:rPr>
      </w:pPr>
      <w:r w:rsidRPr="005854BF">
        <w:rPr>
          <w:b/>
          <w:bCs/>
        </w:rPr>
        <w:t>Figure S2. Indacaterol inhibits Vav/</w:t>
      </w:r>
      <w:r w:rsidR="0013478E" w:rsidRPr="005854BF">
        <w:rPr>
          <w:b/>
          <w:bCs/>
        </w:rPr>
        <w:t>E</w:t>
      </w:r>
      <w:r w:rsidR="0013478E">
        <w:rPr>
          <w:b/>
          <w:bCs/>
        </w:rPr>
        <w:t>RK</w:t>
      </w:r>
      <w:r w:rsidR="0013478E" w:rsidRPr="005854BF">
        <w:rPr>
          <w:b/>
          <w:bCs/>
        </w:rPr>
        <w:t xml:space="preserve"> </w:t>
      </w:r>
      <w:r w:rsidRPr="005854BF">
        <w:rPr>
          <w:b/>
          <w:bCs/>
        </w:rPr>
        <w:t>phosphorylation</w:t>
      </w:r>
    </w:p>
    <w:p w14:paraId="1E5276E9" w14:textId="290B815C" w:rsidR="005854BF" w:rsidRDefault="00CD326B" w:rsidP="00CD326B">
      <w:pPr>
        <w:jc w:val="both"/>
      </w:pPr>
      <w:r>
        <w:t>T</w:t>
      </w:r>
      <w:r w:rsidR="005854BF">
        <w:rPr>
          <w:rFonts w:hint="eastAsia"/>
        </w:rPr>
        <w:t xml:space="preserve">he phosphorylation of Vav </w:t>
      </w:r>
      <w:r>
        <w:t xml:space="preserve">(A) </w:t>
      </w:r>
      <w:r w:rsidR="005854BF">
        <w:rPr>
          <w:rFonts w:hint="eastAsia"/>
        </w:rPr>
        <w:t xml:space="preserve">and ERK </w:t>
      </w:r>
      <w:r>
        <w:t xml:space="preserve">(B) </w:t>
      </w:r>
      <w:r w:rsidR="005854BF">
        <w:rPr>
          <w:rFonts w:hint="eastAsia"/>
        </w:rPr>
        <w:t>were measured by western blot. The densitometry was quantified via Image J. Statistical analysis was performed using ordinary one-way ANOVA test (****, P</w:t>
      </w:r>
      <w:r w:rsidR="00113D17">
        <w:t>&lt;</w:t>
      </w:r>
      <w:r w:rsidR="005854BF">
        <w:rPr>
          <w:rFonts w:hint="eastAsia"/>
        </w:rPr>
        <w:t>0.0001; ***, P</w:t>
      </w:r>
      <w:r w:rsidR="00113D17">
        <w:t>&lt;</w:t>
      </w:r>
      <w:r w:rsidR="005854BF">
        <w:rPr>
          <w:rFonts w:hint="eastAsia"/>
        </w:rPr>
        <w:t>0.001; **, P</w:t>
      </w:r>
      <w:r w:rsidR="00113D17">
        <w:t>&lt;</w:t>
      </w:r>
      <w:r w:rsidR="005854BF">
        <w:rPr>
          <w:rFonts w:hint="eastAsia"/>
        </w:rPr>
        <w:t>0.01; *, P</w:t>
      </w:r>
      <w:r w:rsidR="00113D17">
        <w:t>&lt;</w:t>
      </w:r>
      <w:r w:rsidR="005854BF">
        <w:rPr>
          <w:rFonts w:hint="eastAsia"/>
        </w:rPr>
        <w:t>0.05). Contro</w:t>
      </w:r>
      <w:r w:rsidR="005854BF">
        <w:t>ls were set to 1.</w:t>
      </w:r>
    </w:p>
    <w:p w14:paraId="5CA8845C" w14:textId="77777777" w:rsidR="005854BF" w:rsidRDefault="005854BF" w:rsidP="005854BF"/>
    <w:p w14:paraId="03B9CCFF" w14:textId="22D52ACC" w:rsidR="00CD326B" w:rsidRDefault="00CD326B" w:rsidP="005854BF">
      <w:r>
        <w:rPr>
          <w:noProof/>
        </w:rPr>
        <w:lastRenderedPageBreak/>
        <w:drawing>
          <wp:inline distT="0" distB="0" distL="0" distR="0" wp14:anchorId="66D79A8A" wp14:editId="78C248D2">
            <wp:extent cx="4556632" cy="6347742"/>
            <wp:effectExtent l="0" t="0" r="3175" b="2540"/>
            <wp:docPr id="615545721" name="Grafik 3" descr="Ein Bild, das Text, Diagramm, Schrif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545721" name="Grafik 3" descr="Ein Bild, das Text, Diagramm, Schrift, Screensho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80354" cy="6380788"/>
                    </a:xfrm>
                    <a:prstGeom prst="rect">
                      <a:avLst/>
                    </a:prstGeom>
                  </pic:spPr>
                </pic:pic>
              </a:graphicData>
            </a:graphic>
          </wp:inline>
        </w:drawing>
      </w:r>
    </w:p>
    <w:p w14:paraId="12236431" w14:textId="7D00DBC0" w:rsidR="005854BF" w:rsidRPr="005854BF" w:rsidRDefault="005854BF" w:rsidP="00CD326B">
      <w:pPr>
        <w:jc w:val="both"/>
        <w:rPr>
          <w:b/>
          <w:bCs/>
        </w:rPr>
      </w:pPr>
      <w:r w:rsidRPr="005854BF">
        <w:rPr>
          <w:b/>
          <w:bCs/>
        </w:rPr>
        <w:t xml:space="preserve">Figure S3. </w:t>
      </w:r>
      <w:r w:rsidRPr="005854BF">
        <w:rPr>
          <w:rFonts w:ascii="Cambria Math" w:hAnsi="Cambria Math" w:cs="Cambria Math"/>
          <w:b/>
          <w:bCs/>
        </w:rPr>
        <w:t>𝛽</w:t>
      </w:r>
      <w:r w:rsidRPr="005854BF">
        <w:rPr>
          <w:b/>
          <w:bCs/>
        </w:rPr>
        <w:t>2AR stimulation prolongs glycolysis upon cytokine activation and CD16 stimulation reduces the size and depolarization of the mitochondria</w:t>
      </w:r>
    </w:p>
    <w:p w14:paraId="72C75682" w14:textId="2AF2B45A" w:rsidR="005854BF" w:rsidRDefault="005854BF" w:rsidP="00CD326B">
      <w:pPr>
        <w:jc w:val="both"/>
      </w:pPr>
      <w:r>
        <w:t xml:space="preserve">(A) Representative curves of the metabolic profile measured by Seahorse technology. Each condition was analyzed in triplicates. The OCR (top) and ECAR (bottom) measurements were normalized to the point of the β2AR agonist addition. NK cells were treated with Medium, DMSO as solvent control, </w:t>
      </w:r>
      <w:r w:rsidR="002F1598">
        <w:t>epinephrine</w:t>
      </w:r>
      <w:r>
        <w:t xml:space="preserve"> or </w:t>
      </w:r>
      <w:r w:rsidR="001741F1">
        <w:t>indacaterol</w:t>
      </w:r>
      <w:r>
        <w:t xml:space="preserve"> (1µM) before activation via IL12/15/18. The timepoints after stimulation (</w:t>
      </w:r>
      <w:proofErr w:type="spellStart"/>
      <w:r>
        <w:t>TStim</w:t>
      </w:r>
      <w:proofErr w:type="spellEnd"/>
      <w:r>
        <w:t>) and at the end (</w:t>
      </w:r>
      <w:proofErr w:type="spellStart"/>
      <w:r>
        <w:t>TEnd</w:t>
      </w:r>
      <w:proofErr w:type="spellEnd"/>
      <w:r>
        <w:t xml:space="preserve">) were quantified of 5 independent experiments (right panels). (B) Expression levels of Glucose transporters (Glut1, Glut2 and Glut3) after 2h CD16 stimulation ± </w:t>
      </w:r>
      <w:r w:rsidR="002F1598">
        <w:t>epinephrine</w:t>
      </w:r>
      <w:r>
        <w:t xml:space="preserve"> (1µM) </w:t>
      </w:r>
      <w:proofErr w:type="gramStart"/>
      <w:r>
        <w:t>were</w:t>
      </w:r>
      <w:proofErr w:type="gramEnd"/>
      <w:r>
        <w:t xml:space="preserve"> analyzed by flow cytometry. (C) Cultured NK cells were analyzed for CD16 expression, size of mitochondria (</w:t>
      </w:r>
      <w:proofErr w:type="spellStart"/>
      <w:r>
        <w:t>mitotracker</w:t>
      </w:r>
      <w:proofErr w:type="spellEnd"/>
      <w:r>
        <w:t>), viability (zombie) and depolarization (TMR</w:t>
      </w:r>
      <w:r>
        <w:rPr>
          <w:rFonts w:hint="eastAsia"/>
        </w:rPr>
        <w:t xml:space="preserve">M). NK cells were stimulated via CD16 </w:t>
      </w:r>
      <w:r>
        <w:rPr>
          <w:rFonts w:hint="eastAsia"/>
        </w:rPr>
        <w:t>±</w:t>
      </w:r>
      <w:r>
        <w:rPr>
          <w:rFonts w:hint="eastAsia"/>
        </w:rPr>
        <w:t xml:space="preserve"> </w:t>
      </w:r>
      <w:r w:rsidR="001741F1">
        <w:rPr>
          <w:rFonts w:hint="eastAsia"/>
        </w:rPr>
        <w:t>indacaterol</w:t>
      </w:r>
      <w:r>
        <w:rPr>
          <w:rFonts w:hint="eastAsia"/>
        </w:rPr>
        <w:t xml:space="preserve"> (1µM) for 2h, subsequently stained and analyzed via flow cytometer. Statistical analysis was performed using ordinary one-way ANOVA (in A) or unpaired t test (in B and C</w:t>
      </w:r>
      <w:proofErr w:type="gramStart"/>
      <w:r>
        <w:rPr>
          <w:rFonts w:hint="eastAsia"/>
        </w:rPr>
        <w:t>)  (</w:t>
      </w:r>
      <w:proofErr w:type="gramEnd"/>
      <w:r>
        <w:rPr>
          <w:rFonts w:hint="eastAsia"/>
        </w:rPr>
        <w:t>***, P</w:t>
      </w:r>
      <w:r w:rsidR="00113D17">
        <w:t>&lt;</w:t>
      </w:r>
      <w:r>
        <w:rPr>
          <w:rFonts w:hint="eastAsia"/>
        </w:rPr>
        <w:t>0.001; **, P</w:t>
      </w:r>
      <w:r w:rsidR="00113D17">
        <w:t>&lt;</w:t>
      </w:r>
      <w:r>
        <w:rPr>
          <w:rFonts w:hint="eastAsia"/>
        </w:rPr>
        <w:t>0.01; *, P</w:t>
      </w:r>
      <w:r w:rsidR="00113D17">
        <w:t>&lt;</w:t>
      </w:r>
      <w:r>
        <w:t>0.05).</w:t>
      </w:r>
    </w:p>
    <w:p w14:paraId="3880617D" w14:textId="50CDE3EB" w:rsidR="005854BF" w:rsidRDefault="00CD326B" w:rsidP="005854BF">
      <w:r>
        <w:rPr>
          <w:noProof/>
        </w:rPr>
        <w:lastRenderedPageBreak/>
        <w:drawing>
          <wp:inline distT="0" distB="0" distL="0" distR="0" wp14:anchorId="05AD896A" wp14:editId="76FA3B4F">
            <wp:extent cx="5033042" cy="7338743"/>
            <wp:effectExtent l="0" t="0" r="0" b="1905"/>
            <wp:docPr id="255971607" name="Grafik 4" descr="Ein Bild, das Diagramm, Plan, Tex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971607" name="Grafik 4" descr="Ein Bild, das Diagramm, Plan, Text, Design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64989" cy="7385325"/>
                    </a:xfrm>
                    <a:prstGeom prst="rect">
                      <a:avLst/>
                    </a:prstGeom>
                  </pic:spPr>
                </pic:pic>
              </a:graphicData>
            </a:graphic>
          </wp:inline>
        </w:drawing>
      </w:r>
    </w:p>
    <w:p w14:paraId="3028C823" w14:textId="4B0D78FF" w:rsidR="005854BF" w:rsidRPr="005854BF" w:rsidRDefault="005854BF" w:rsidP="00CD326B">
      <w:pPr>
        <w:jc w:val="both"/>
        <w:rPr>
          <w:b/>
          <w:bCs/>
        </w:rPr>
      </w:pPr>
      <w:r w:rsidRPr="005854BF">
        <w:rPr>
          <w:b/>
          <w:bCs/>
        </w:rPr>
        <w:t xml:space="preserve">Figure S4. </w:t>
      </w:r>
      <w:r w:rsidRPr="005854BF">
        <w:rPr>
          <w:rFonts w:ascii="Cambria Math" w:hAnsi="Cambria Math" w:cs="Cambria Math"/>
          <w:b/>
          <w:bCs/>
        </w:rPr>
        <w:t>𝛽</w:t>
      </w:r>
      <w:r w:rsidRPr="005854BF">
        <w:rPr>
          <w:b/>
          <w:bCs/>
        </w:rPr>
        <w:t>2AR agonist induced prolongation of glycolysis upon CD16 activation is independent of PKA inhibition</w:t>
      </w:r>
      <w:r w:rsidR="00CD326B">
        <w:rPr>
          <w:b/>
          <w:bCs/>
        </w:rPr>
        <w:t>.</w:t>
      </w:r>
    </w:p>
    <w:p w14:paraId="2792A462" w14:textId="22D38A1F" w:rsidR="005854BF" w:rsidRDefault="005854BF" w:rsidP="00CD326B">
      <w:pPr>
        <w:jc w:val="both"/>
      </w:pPr>
      <w:r>
        <w:t xml:space="preserve">(A) Representative curves of the metabolic profile measured by Seahorse technology. Each condition was analyzed in triplicates. The OCR (top) and ECAR (bottom) measurements were normalized to the point of the H89 (10µM) PKA inhibitor addition. NK cells were firstly treated with H89 or Medium, in the next injection step with medium/ DMSO or </w:t>
      </w:r>
      <w:r w:rsidR="002F1598">
        <w:t>epinephrine</w:t>
      </w:r>
      <w:r>
        <w:t xml:space="preserve"> (A)/ </w:t>
      </w:r>
      <w:r w:rsidR="001741F1">
        <w:t>indacaterol</w:t>
      </w:r>
      <w:r>
        <w:t xml:space="preserve"> (B) before activation via CD16. The timepoints after stimulation (</w:t>
      </w:r>
      <w:proofErr w:type="spellStart"/>
      <w:r>
        <w:t>TStim</w:t>
      </w:r>
      <w:proofErr w:type="spellEnd"/>
      <w:r>
        <w:t>) and at the end (</w:t>
      </w:r>
      <w:proofErr w:type="spellStart"/>
      <w:r>
        <w:t>TEnd</w:t>
      </w:r>
      <w:proofErr w:type="spellEnd"/>
      <w:r>
        <w:t xml:space="preserve">) were quantified of 3 independent experiments (right panels). Statistical analysis was performed using one-way ANOVA. P-values are </w:t>
      </w:r>
      <w:r w:rsidR="00113D17">
        <w:t>indicated</w:t>
      </w:r>
      <w:r>
        <w:t>.</w:t>
      </w:r>
    </w:p>
    <w:p w14:paraId="38BD0B7A" w14:textId="5C201CAE" w:rsidR="005854BF" w:rsidRDefault="00CD326B" w:rsidP="005854BF">
      <w:r>
        <w:rPr>
          <w:noProof/>
        </w:rPr>
        <w:lastRenderedPageBreak/>
        <w:drawing>
          <wp:inline distT="0" distB="0" distL="0" distR="0" wp14:anchorId="56F91B99" wp14:editId="21EC07F6">
            <wp:extent cx="3957277" cy="7299246"/>
            <wp:effectExtent l="0" t="0" r="5715" b="3810"/>
            <wp:docPr id="964916253" name="Grafik 5" descr="Ein Bild, das Text, Diagramm, Screenshot, Pla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16253" name="Grafik 5" descr="Ein Bild, das Text, Diagramm, Screenshot, Plan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62145" cy="7308225"/>
                    </a:xfrm>
                    <a:prstGeom prst="rect">
                      <a:avLst/>
                    </a:prstGeom>
                  </pic:spPr>
                </pic:pic>
              </a:graphicData>
            </a:graphic>
          </wp:inline>
        </w:drawing>
      </w:r>
    </w:p>
    <w:p w14:paraId="476E2222" w14:textId="77777777" w:rsidR="005854BF" w:rsidRPr="005854BF" w:rsidRDefault="005854BF" w:rsidP="005854BF">
      <w:pPr>
        <w:rPr>
          <w:b/>
          <w:bCs/>
        </w:rPr>
      </w:pPr>
      <w:r w:rsidRPr="005854BF">
        <w:rPr>
          <w:b/>
          <w:bCs/>
        </w:rPr>
        <w:t xml:space="preserve">Figure S5. Chronic stimulation desensitizes </w:t>
      </w:r>
      <w:r w:rsidRPr="005854BF">
        <w:rPr>
          <w:rFonts w:ascii="Cambria Math" w:hAnsi="Cambria Math" w:cs="Cambria Math"/>
          <w:b/>
          <w:bCs/>
        </w:rPr>
        <w:t>𝛽</w:t>
      </w:r>
      <w:r w:rsidRPr="005854BF">
        <w:rPr>
          <w:b/>
          <w:bCs/>
        </w:rPr>
        <w:t>2AR and agonist induced inhibition</w:t>
      </w:r>
    </w:p>
    <w:p w14:paraId="672051E2" w14:textId="1BAF0C83" w:rsidR="005854BF" w:rsidRDefault="005854BF" w:rsidP="005854BF">
      <w:r>
        <w:t xml:space="preserve">Cultured NK cells were either treated chronically every 24 h for five consecutive times or acutely with 1µM </w:t>
      </w:r>
      <w:r w:rsidR="002F1598">
        <w:t>epinephrine</w:t>
      </w:r>
      <w:r>
        <w:t xml:space="preserve">/ </w:t>
      </w:r>
      <w:r w:rsidR="001741F1">
        <w:t>indacaterol</w:t>
      </w:r>
      <w:r>
        <w:t>. In (A), the degranulation was measured by flow cytometric CD107a expression analysis. NK cells were stimulated (3 h) with plate-bound NKG2D+2B4 (top) or NKp30 (bottom) antibodies (median, n=3-5). In (B) the phosphorylation of Vav and ERK were measured by western blot (median, n=2-4). The densitometry was quantified via Image J. Statistical analysis was performed using two-way</w:t>
      </w:r>
      <w:r>
        <w:rPr>
          <w:rFonts w:hint="eastAsia"/>
        </w:rPr>
        <w:t xml:space="preserve"> ANOVA test (****, P</w:t>
      </w:r>
      <w:r w:rsidR="00113D17">
        <w:t>&lt;</w:t>
      </w:r>
      <w:r>
        <w:rPr>
          <w:rFonts w:hint="eastAsia"/>
        </w:rPr>
        <w:t>0.0001; ***, P</w:t>
      </w:r>
      <w:r w:rsidR="00113D17">
        <w:t>&lt;</w:t>
      </w:r>
      <w:r>
        <w:rPr>
          <w:rFonts w:hint="eastAsia"/>
        </w:rPr>
        <w:t>0.001; **, P</w:t>
      </w:r>
      <w:r w:rsidR="00113D17">
        <w:t>&lt;</w:t>
      </w:r>
      <w:r>
        <w:rPr>
          <w:rFonts w:hint="eastAsia"/>
        </w:rPr>
        <w:t>0.01; *, P</w:t>
      </w:r>
      <w:r w:rsidR="00113D17">
        <w:t>&lt;</w:t>
      </w:r>
      <w:r>
        <w:rPr>
          <w:rFonts w:hint="eastAsia"/>
        </w:rPr>
        <w:t>0.05). Controls were set to 1.</w:t>
      </w:r>
    </w:p>
    <w:p w14:paraId="30E6FC0A" w14:textId="77777777" w:rsidR="005854BF" w:rsidRDefault="005854BF" w:rsidP="005854BF"/>
    <w:p w14:paraId="258292C5" w14:textId="69827AE8" w:rsidR="00CD326B" w:rsidRDefault="00CD326B" w:rsidP="005854BF">
      <w:pPr>
        <w:rPr>
          <w:b/>
          <w:bCs/>
        </w:rPr>
      </w:pPr>
      <w:r>
        <w:rPr>
          <w:b/>
          <w:bCs/>
          <w:noProof/>
        </w:rPr>
        <w:lastRenderedPageBreak/>
        <w:drawing>
          <wp:inline distT="0" distB="0" distL="0" distR="0" wp14:anchorId="4DB20D0B" wp14:editId="2A6FE68A">
            <wp:extent cx="4926120" cy="6869526"/>
            <wp:effectExtent l="0" t="0" r="1905" b="1270"/>
            <wp:docPr id="726340075" name="Grafik 6" descr="Ein Bild, das Diagramm, Text, Plan, technische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340075" name="Grafik 6" descr="Ein Bild, das Diagramm, Text, Plan, technische Zeichnung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60472" cy="6917430"/>
                    </a:xfrm>
                    <a:prstGeom prst="rect">
                      <a:avLst/>
                    </a:prstGeom>
                  </pic:spPr>
                </pic:pic>
              </a:graphicData>
            </a:graphic>
          </wp:inline>
        </w:drawing>
      </w:r>
    </w:p>
    <w:p w14:paraId="285FCFF8" w14:textId="6BD35576" w:rsidR="005854BF" w:rsidRPr="005854BF" w:rsidRDefault="005854BF" w:rsidP="00CD326B">
      <w:pPr>
        <w:jc w:val="both"/>
        <w:rPr>
          <w:b/>
          <w:bCs/>
        </w:rPr>
      </w:pPr>
      <w:r w:rsidRPr="005854BF">
        <w:rPr>
          <w:b/>
          <w:bCs/>
        </w:rPr>
        <w:t>Figure S6. Metabolic profile of chronically stimulated NK cells</w:t>
      </w:r>
    </w:p>
    <w:p w14:paraId="7EBA29BE" w14:textId="2AAA12D1" w:rsidR="005854BF" w:rsidRDefault="005854BF" w:rsidP="00CD326B">
      <w:pPr>
        <w:jc w:val="both"/>
      </w:pPr>
      <w:r>
        <w:t xml:space="preserve">Cultured NK cells were either treated chronically every 24 h for five consecutive times or acutely </w:t>
      </w:r>
      <w:r w:rsidR="001741F1">
        <w:t>indacaterol</w:t>
      </w:r>
      <w:r>
        <w:t xml:space="preserve">. The metabolic profile of cultured NK cells was evaluated by Seahorse technology. Representative measures are shown for oxygen consumption rate (OCR, top) and extracellular acidification rate (ECAR, bottom). Each condition </w:t>
      </w:r>
      <w:r w:rsidR="00CD326B">
        <w:t>was</w:t>
      </w:r>
      <w:r>
        <w:t xml:space="preserve"> analyzed in triplicates. The OCR (oxidative phosphorylation) and ECAR (glycolysis) measurements were normalized to the point of the β2AR agonist addition. NK cells were treated with Medium, DMSO as solvent control or </w:t>
      </w:r>
      <w:r w:rsidR="001741F1">
        <w:t>indacaterol</w:t>
      </w:r>
      <w:r>
        <w:t xml:space="preserve"> (1µM) before activation via CD16 (A) or cytokines IL 12/15/18 (B). The timepoints after stimulation (</w:t>
      </w:r>
      <w:proofErr w:type="spellStart"/>
      <w:r>
        <w:t>TStim</w:t>
      </w:r>
      <w:proofErr w:type="spellEnd"/>
      <w:r>
        <w:t>) and at the end (</w:t>
      </w:r>
      <w:proofErr w:type="spellStart"/>
      <w:r>
        <w:t>TEnd</w:t>
      </w:r>
      <w:proofErr w:type="spellEnd"/>
      <w:r>
        <w:t>) were quantified of 5 independent experiments (right panels). Statistic</w:t>
      </w:r>
      <w:r>
        <w:rPr>
          <w:rFonts w:hint="eastAsia"/>
        </w:rPr>
        <w:t>al analysis was performed using ordinary one-way ANOVA test (*, P</w:t>
      </w:r>
      <w:r w:rsidR="00113D17">
        <w:t>&lt;</w:t>
      </w:r>
      <w:r>
        <w:rPr>
          <w:rFonts w:hint="eastAsia"/>
        </w:rPr>
        <w:t xml:space="preserve">0.05). </w:t>
      </w:r>
    </w:p>
    <w:p w14:paraId="278054C5" w14:textId="089FE8A0" w:rsidR="005854BF" w:rsidRDefault="00234429" w:rsidP="005854BF">
      <w:r>
        <w:rPr>
          <w:noProof/>
        </w:rPr>
        <w:lastRenderedPageBreak/>
        <w:drawing>
          <wp:inline distT="0" distB="0" distL="0" distR="0" wp14:anchorId="79ABFCB7" wp14:editId="374D457F">
            <wp:extent cx="5232400" cy="4813300"/>
            <wp:effectExtent l="0" t="0" r="0" b="0"/>
            <wp:docPr id="249079496" name="Grafik 2" descr="Ein Bild, das Tex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079496" name="Grafik 2" descr="Ein Bild, das Text, Diagramm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32400" cy="4813300"/>
                    </a:xfrm>
                    <a:prstGeom prst="rect">
                      <a:avLst/>
                    </a:prstGeom>
                  </pic:spPr>
                </pic:pic>
              </a:graphicData>
            </a:graphic>
          </wp:inline>
        </w:drawing>
      </w:r>
    </w:p>
    <w:p w14:paraId="0140E296" w14:textId="6B6E85CE" w:rsidR="005854BF" w:rsidRPr="005854BF" w:rsidRDefault="005854BF" w:rsidP="00CD326B">
      <w:pPr>
        <w:jc w:val="both"/>
        <w:rPr>
          <w:b/>
          <w:bCs/>
        </w:rPr>
      </w:pPr>
      <w:r w:rsidRPr="005854BF">
        <w:rPr>
          <w:b/>
          <w:bCs/>
        </w:rPr>
        <w:t xml:space="preserve">Figure S7. Chronic </w:t>
      </w:r>
      <w:r w:rsidRPr="005854BF">
        <w:rPr>
          <w:rFonts w:ascii="Cambria Math" w:hAnsi="Cambria Math" w:cs="Cambria Math"/>
          <w:b/>
          <w:bCs/>
        </w:rPr>
        <w:t>𝛽</w:t>
      </w:r>
      <w:r w:rsidRPr="005854BF">
        <w:rPr>
          <w:b/>
          <w:bCs/>
        </w:rPr>
        <w:t xml:space="preserve">2AR stimulation does not alter transcription levels, protein </w:t>
      </w:r>
      <w:r w:rsidR="00CD326B">
        <w:rPr>
          <w:b/>
          <w:bCs/>
        </w:rPr>
        <w:t>expression</w:t>
      </w:r>
      <w:r w:rsidRPr="005854BF">
        <w:rPr>
          <w:b/>
          <w:bCs/>
        </w:rPr>
        <w:t xml:space="preserve"> or receptor expression. </w:t>
      </w:r>
    </w:p>
    <w:p w14:paraId="31413FE0" w14:textId="48C97F05" w:rsidR="005854BF" w:rsidRDefault="005854BF" w:rsidP="00CD326B">
      <w:pPr>
        <w:jc w:val="both"/>
      </w:pPr>
      <w:r>
        <w:t xml:space="preserve">NK cells were chronically treated with 1µM </w:t>
      </w:r>
      <w:r w:rsidR="002F1598">
        <w:t>epinephrine</w:t>
      </w:r>
      <w:r>
        <w:t xml:space="preserve"> and analyzed </w:t>
      </w:r>
      <w:r w:rsidR="00CD326B">
        <w:t>by RNAseq (A) or proteomics (B)</w:t>
      </w:r>
      <w:r>
        <w:t xml:space="preserve">. Representative volcano plots are shown (n=3). (C) Representative histogram of the </w:t>
      </w:r>
      <w:r>
        <w:rPr>
          <w:rFonts w:ascii="Cambria Math" w:hAnsi="Cambria Math" w:cs="Cambria Math"/>
        </w:rPr>
        <w:t>𝛽</w:t>
      </w:r>
      <w:r>
        <w:t xml:space="preserve">2AR expression of untreated NK cells or 96 h treated cells by </w:t>
      </w:r>
      <w:r w:rsidR="002F1598">
        <w:t>epinephrine</w:t>
      </w:r>
      <w:r>
        <w:t>. Expression was determined by flow cytometry.</w:t>
      </w:r>
    </w:p>
    <w:p w14:paraId="2F3C54BC" w14:textId="21B1E450" w:rsidR="005854BF" w:rsidRDefault="00CD326B" w:rsidP="005854BF">
      <w:r>
        <w:rPr>
          <w:noProof/>
        </w:rPr>
        <w:lastRenderedPageBreak/>
        <w:drawing>
          <wp:inline distT="0" distB="0" distL="0" distR="0" wp14:anchorId="40908AAF" wp14:editId="68E86A92">
            <wp:extent cx="5760720" cy="5534025"/>
            <wp:effectExtent l="0" t="0" r="5080" b="3175"/>
            <wp:docPr id="1022349051"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349051" name="Grafik 102234905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534025"/>
                    </a:xfrm>
                    <a:prstGeom prst="rect">
                      <a:avLst/>
                    </a:prstGeom>
                  </pic:spPr>
                </pic:pic>
              </a:graphicData>
            </a:graphic>
          </wp:inline>
        </w:drawing>
      </w:r>
    </w:p>
    <w:p w14:paraId="795502C2" w14:textId="1E0A25D5" w:rsidR="005854BF" w:rsidRDefault="005854BF" w:rsidP="00CD326B">
      <w:pPr>
        <w:jc w:val="both"/>
      </w:pPr>
      <w:r w:rsidRPr="005854BF">
        <w:rPr>
          <w:b/>
          <w:bCs/>
        </w:rPr>
        <w:t xml:space="preserve">Figure S8. Flow </w:t>
      </w:r>
      <w:r w:rsidR="0013478E">
        <w:rPr>
          <w:b/>
          <w:bCs/>
        </w:rPr>
        <w:t>cytometric</w:t>
      </w:r>
      <w:r w:rsidR="0013478E" w:rsidRPr="005854BF">
        <w:rPr>
          <w:b/>
          <w:bCs/>
        </w:rPr>
        <w:t xml:space="preserve"> </w:t>
      </w:r>
      <w:r w:rsidRPr="005854BF">
        <w:rPr>
          <w:b/>
          <w:bCs/>
        </w:rPr>
        <w:t>analysis of NK cell composition of Asthma patients and healthy subjects.</w:t>
      </w:r>
      <w:r>
        <w:t xml:space="preserve"> </w:t>
      </w:r>
    </w:p>
    <w:p w14:paraId="58E492A3" w14:textId="75EFEB73" w:rsidR="008B2464" w:rsidRDefault="005854BF" w:rsidP="00CD326B">
      <w:pPr>
        <w:jc w:val="both"/>
      </w:pPr>
      <w:r>
        <w:t xml:space="preserve">Blood samples were collected from the university hospital, </w:t>
      </w:r>
      <w:proofErr w:type="spellStart"/>
      <w:r>
        <w:t>Ruhrlandklinik</w:t>
      </w:r>
      <w:proofErr w:type="spellEnd"/>
      <w:r>
        <w:t xml:space="preserve">, Essen. PBMCs were isolated and further analyzed by flow cytometer. PBMCs were analyzed for NK cell (CD56+, CD3-) frequency (A) and their expression of activating receptors (B) CD16, NKp30, 2B4 and NKG2D. In (C), PBMCs were treated with </w:t>
      </w:r>
      <w:r w:rsidR="002F1598">
        <w:t>epinephrine</w:t>
      </w:r>
      <w:r>
        <w:t xml:space="preserve"> and stimulated by </w:t>
      </w:r>
      <w:r w:rsidR="00CD326B">
        <w:t>plate bound</w:t>
      </w:r>
      <w:r>
        <w:t xml:space="preserve"> NKp30 (left) or NKG2D/2B4 (right) antibodies (3h). Degranulation frequency (CD107a+) of NK cells was analyzed by flow cytometry (NKp30 n=6, NKG2D/2B4 n=9).</w:t>
      </w:r>
    </w:p>
    <w:sectPr w:rsidR="008B2464" w:rsidSect="006A4C79">
      <w:footerReference w:type="even" r:id="rId16"/>
      <w:footerReference w:type="default" r:id="rId17"/>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09FB5" w14:textId="77777777" w:rsidR="006A4C79" w:rsidRDefault="006A4C79" w:rsidP="00DE5CF7">
      <w:r>
        <w:separator/>
      </w:r>
    </w:p>
  </w:endnote>
  <w:endnote w:type="continuationSeparator" w:id="0">
    <w:p w14:paraId="7979EE24" w14:textId="77777777" w:rsidR="006A4C79" w:rsidRDefault="006A4C79" w:rsidP="00DE5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70488992"/>
      <w:docPartObj>
        <w:docPartGallery w:val="Page Numbers (Bottom of Page)"/>
        <w:docPartUnique/>
      </w:docPartObj>
    </w:sdtPr>
    <w:sdtContent>
      <w:p w14:paraId="1210A25B" w14:textId="366F963F" w:rsidR="00226450" w:rsidRDefault="00226450" w:rsidP="00B60947">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sidR="00CA1EAC">
          <w:rPr>
            <w:rStyle w:val="Seitenzahl"/>
            <w:noProof/>
          </w:rPr>
          <w:t>1</w:t>
        </w:r>
        <w:r>
          <w:rPr>
            <w:rStyle w:val="Seitenzahl"/>
          </w:rPr>
          <w:fldChar w:fldCharType="end"/>
        </w:r>
      </w:p>
    </w:sdtContent>
  </w:sdt>
  <w:p w14:paraId="27E4DD75" w14:textId="77777777" w:rsidR="00226450" w:rsidRDefault="0022645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88940671"/>
      <w:docPartObj>
        <w:docPartGallery w:val="Page Numbers (Bottom of Page)"/>
        <w:docPartUnique/>
      </w:docPartObj>
    </w:sdtPr>
    <w:sdtContent>
      <w:p w14:paraId="6C4ABB82" w14:textId="229296AA" w:rsidR="00226450" w:rsidRDefault="00226450" w:rsidP="00B60947">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14:paraId="6A0566EF" w14:textId="77777777" w:rsidR="00226450" w:rsidRDefault="0022645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F4523" w14:textId="77777777" w:rsidR="006A4C79" w:rsidRDefault="006A4C79" w:rsidP="00DE5CF7">
      <w:r>
        <w:separator/>
      </w:r>
    </w:p>
  </w:footnote>
  <w:footnote w:type="continuationSeparator" w:id="0">
    <w:p w14:paraId="369CA2EE" w14:textId="77777777" w:rsidR="006A4C79" w:rsidRDefault="006A4C79" w:rsidP="00DE5C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B5316"/>
    <w:multiLevelType w:val="hybridMultilevel"/>
    <w:tmpl w:val="739A6806"/>
    <w:lvl w:ilvl="0" w:tplc="3C5E4F4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B5E3328"/>
    <w:multiLevelType w:val="hybridMultilevel"/>
    <w:tmpl w:val="AA3E78E0"/>
    <w:lvl w:ilvl="0" w:tplc="7B38AE48">
      <w:start w:val="10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7567BA1"/>
    <w:multiLevelType w:val="hybridMultilevel"/>
    <w:tmpl w:val="38823A5C"/>
    <w:lvl w:ilvl="0" w:tplc="542A43C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F641204"/>
    <w:multiLevelType w:val="hybridMultilevel"/>
    <w:tmpl w:val="6B8E97F8"/>
    <w:lvl w:ilvl="0" w:tplc="31D2B55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03795223">
    <w:abstractNumId w:val="1"/>
  </w:num>
  <w:num w:numId="2" w16cid:durableId="1894777535">
    <w:abstractNumId w:val="3"/>
  </w:num>
  <w:num w:numId="3" w16cid:durableId="728261095">
    <w:abstractNumId w:val="2"/>
  </w:num>
  <w:num w:numId="4" w16cid:durableId="844242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rain Behavior and Imm&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ar5tp52w0xtlext2ivp2ptpwfeept55dtd&quot;&gt;My EndNote Library&lt;record-ids&gt;&lt;item&gt;92&lt;/item&gt;&lt;item&gt;320&lt;/item&gt;&lt;item&gt;353&lt;/item&gt;&lt;item&gt;1011&lt;/item&gt;&lt;item&gt;4094&lt;/item&gt;&lt;item&gt;4097&lt;/item&gt;&lt;item&gt;4636&lt;/item&gt;&lt;item&gt;5094&lt;/item&gt;&lt;item&gt;5099&lt;/item&gt;&lt;item&gt;5212&lt;/item&gt;&lt;item&gt;5217&lt;/item&gt;&lt;item&gt;5218&lt;/item&gt;&lt;item&gt;5223&lt;/item&gt;&lt;item&gt;5226&lt;/item&gt;&lt;item&gt;5229&lt;/item&gt;&lt;item&gt;5234&lt;/item&gt;&lt;item&gt;5235&lt;/item&gt;&lt;item&gt;5243&lt;/item&gt;&lt;item&gt;5244&lt;/item&gt;&lt;item&gt;5253&lt;/item&gt;&lt;item&gt;5310&lt;/item&gt;&lt;item&gt;5661&lt;/item&gt;&lt;item&gt;5664&lt;/item&gt;&lt;item&gt;5665&lt;/item&gt;&lt;item&gt;5671&lt;/item&gt;&lt;item&gt;5672&lt;/item&gt;&lt;item&gt;5673&lt;/item&gt;&lt;item&gt;5675&lt;/item&gt;&lt;item&gt;5676&lt;/item&gt;&lt;item&gt;5680&lt;/item&gt;&lt;item&gt;5681&lt;/item&gt;&lt;item&gt;5682&lt;/item&gt;&lt;item&gt;5684&lt;/item&gt;&lt;item&gt;5687&lt;/item&gt;&lt;item&gt;5689&lt;/item&gt;&lt;item&gt;5691&lt;/item&gt;&lt;item&gt;5692&lt;/item&gt;&lt;item&gt;5693&lt;/item&gt;&lt;item&gt;5694&lt;/item&gt;&lt;item&gt;5696&lt;/item&gt;&lt;item&gt;5697&lt;/item&gt;&lt;item&gt;5711&lt;/item&gt;&lt;item&gt;5712&lt;/item&gt;&lt;item&gt;5713&lt;/item&gt;&lt;item&gt;5714&lt;/item&gt;&lt;item&gt;5715&lt;/item&gt;&lt;item&gt;5716&lt;/item&gt;&lt;item&gt;5717&lt;/item&gt;&lt;item&gt;5718&lt;/item&gt;&lt;item&gt;5719&lt;/item&gt;&lt;item&gt;5720&lt;/item&gt;&lt;item&gt;5721&lt;/item&gt;&lt;item&gt;5722&lt;/item&gt;&lt;item&gt;5723&lt;/item&gt;&lt;item&gt;5724&lt;/item&gt;&lt;item&gt;5725&lt;/item&gt;&lt;item&gt;5726&lt;/item&gt;&lt;item&gt;5727&lt;/item&gt;&lt;item&gt;5728&lt;/item&gt;&lt;item&gt;5729&lt;/item&gt;&lt;item&gt;5732&lt;/item&gt;&lt;item&gt;5733&lt;/item&gt;&lt;item&gt;5734&lt;/item&gt;&lt;item&gt;5735&lt;/item&gt;&lt;item&gt;5736&lt;/item&gt;&lt;item&gt;5737&lt;/item&gt;&lt;item&gt;5738&lt;/item&gt;&lt;item&gt;5746&lt;/item&gt;&lt;item&gt;5747&lt;/item&gt;&lt;item&gt;5750&lt;/item&gt;&lt;item&gt;5752&lt;/item&gt;&lt;item&gt;5753&lt;/item&gt;&lt;item&gt;5761&lt;/item&gt;&lt;item&gt;5763&lt;/item&gt;&lt;item&gt;5767&lt;/item&gt;&lt;item&gt;5768&lt;/item&gt;&lt;item&gt;5769&lt;/item&gt;&lt;item&gt;5770&lt;/item&gt;&lt;item&gt;5772&lt;/item&gt;&lt;item&gt;5773&lt;/item&gt;&lt;item&gt;5774&lt;/item&gt;&lt;/record-ids&gt;&lt;/item&gt;&lt;/Libraries&gt;"/>
  </w:docVars>
  <w:rsids>
    <w:rsidRoot w:val="00575914"/>
    <w:rsid w:val="00001814"/>
    <w:rsid w:val="000021C0"/>
    <w:rsid w:val="00002354"/>
    <w:rsid w:val="00003DC3"/>
    <w:rsid w:val="00004A42"/>
    <w:rsid w:val="00007F37"/>
    <w:rsid w:val="00014A2E"/>
    <w:rsid w:val="00016D81"/>
    <w:rsid w:val="000178F0"/>
    <w:rsid w:val="00017C49"/>
    <w:rsid w:val="0002564F"/>
    <w:rsid w:val="000328EE"/>
    <w:rsid w:val="00032DC9"/>
    <w:rsid w:val="000372E9"/>
    <w:rsid w:val="00040552"/>
    <w:rsid w:val="000408AB"/>
    <w:rsid w:val="00041A5B"/>
    <w:rsid w:val="00044F7D"/>
    <w:rsid w:val="00047BA5"/>
    <w:rsid w:val="000540BB"/>
    <w:rsid w:val="00054482"/>
    <w:rsid w:val="00057244"/>
    <w:rsid w:val="000600F4"/>
    <w:rsid w:val="00063B06"/>
    <w:rsid w:val="0006405B"/>
    <w:rsid w:val="00064E4C"/>
    <w:rsid w:val="00065A8F"/>
    <w:rsid w:val="00066B69"/>
    <w:rsid w:val="00067312"/>
    <w:rsid w:val="000718C7"/>
    <w:rsid w:val="00072CFC"/>
    <w:rsid w:val="00077A09"/>
    <w:rsid w:val="00082FE4"/>
    <w:rsid w:val="000836F4"/>
    <w:rsid w:val="000851A0"/>
    <w:rsid w:val="00086C41"/>
    <w:rsid w:val="000A3680"/>
    <w:rsid w:val="000A5022"/>
    <w:rsid w:val="000A77A5"/>
    <w:rsid w:val="000B1EF3"/>
    <w:rsid w:val="000B4D99"/>
    <w:rsid w:val="000B4E3B"/>
    <w:rsid w:val="000B68A0"/>
    <w:rsid w:val="000C320B"/>
    <w:rsid w:val="000C622F"/>
    <w:rsid w:val="000C6BD9"/>
    <w:rsid w:val="000D0E5B"/>
    <w:rsid w:val="000D3E29"/>
    <w:rsid w:val="000E515C"/>
    <w:rsid w:val="000E699E"/>
    <w:rsid w:val="000F0190"/>
    <w:rsid w:val="000F0581"/>
    <w:rsid w:val="000F0A67"/>
    <w:rsid w:val="000F1728"/>
    <w:rsid w:val="000F593F"/>
    <w:rsid w:val="000F5EE2"/>
    <w:rsid w:val="000F65BD"/>
    <w:rsid w:val="000F7785"/>
    <w:rsid w:val="0010251E"/>
    <w:rsid w:val="00106B42"/>
    <w:rsid w:val="00107034"/>
    <w:rsid w:val="00107AB5"/>
    <w:rsid w:val="00113D17"/>
    <w:rsid w:val="001149FE"/>
    <w:rsid w:val="00115ED6"/>
    <w:rsid w:val="00117F85"/>
    <w:rsid w:val="001317F1"/>
    <w:rsid w:val="00133914"/>
    <w:rsid w:val="0013478E"/>
    <w:rsid w:val="00137F6D"/>
    <w:rsid w:val="00141DC4"/>
    <w:rsid w:val="00143D8D"/>
    <w:rsid w:val="00145005"/>
    <w:rsid w:val="00152704"/>
    <w:rsid w:val="0015373B"/>
    <w:rsid w:val="001564F8"/>
    <w:rsid w:val="00163A61"/>
    <w:rsid w:val="00165CDF"/>
    <w:rsid w:val="00166162"/>
    <w:rsid w:val="001710F8"/>
    <w:rsid w:val="00171628"/>
    <w:rsid w:val="00171E71"/>
    <w:rsid w:val="001741F1"/>
    <w:rsid w:val="00174FC4"/>
    <w:rsid w:val="001763A0"/>
    <w:rsid w:val="00176D47"/>
    <w:rsid w:val="00177DC4"/>
    <w:rsid w:val="00184171"/>
    <w:rsid w:val="00187CA2"/>
    <w:rsid w:val="00190A17"/>
    <w:rsid w:val="00194BA8"/>
    <w:rsid w:val="00194BAD"/>
    <w:rsid w:val="00196EE2"/>
    <w:rsid w:val="001A19B2"/>
    <w:rsid w:val="001A7D25"/>
    <w:rsid w:val="001B1F82"/>
    <w:rsid w:val="001B3497"/>
    <w:rsid w:val="001B3674"/>
    <w:rsid w:val="001B505A"/>
    <w:rsid w:val="001B60C5"/>
    <w:rsid w:val="001C4A7A"/>
    <w:rsid w:val="001C5D58"/>
    <w:rsid w:val="001D1385"/>
    <w:rsid w:val="001D647E"/>
    <w:rsid w:val="001E0CCC"/>
    <w:rsid w:val="001E170F"/>
    <w:rsid w:val="001E19B2"/>
    <w:rsid w:val="001E3A4D"/>
    <w:rsid w:val="001E4328"/>
    <w:rsid w:val="001E498D"/>
    <w:rsid w:val="001E5FE9"/>
    <w:rsid w:val="001E7F64"/>
    <w:rsid w:val="001F1538"/>
    <w:rsid w:val="001F28B5"/>
    <w:rsid w:val="001F473C"/>
    <w:rsid w:val="002035ED"/>
    <w:rsid w:val="00206A6B"/>
    <w:rsid w:val="002070F8"/>
    <w:rsid w:val="002119FC"/>
    <w:rsid w:val="002135B2"/>
    <w:rsid w:val="0021582E"/>
    <w:rsid w:val="00217A9C"/>
    <w:rsid w:val="00220056"/>
    <w:rsid w:val="00226127"/>
    <w:rsid w:val="00226450"/>
    <w:rsid w:val="00230307"/>
    <w:rsid w:val="002311B8"/>
    <w:rsid w:val="002325AB"/>
    <w:rsid w:val="00234429"/>
    <w:rsid w:val="00236E71"/>
    <w:rsid w:val="00247ED9"/>
    <w:rsid w:val="0025040B"/>
    <w:rsid w:val="002575FA"/>
    <w:rsid w:val="00261656"/>
    <w:rsid w:val="0026170B"/>
    <w:rsid w:val="00270C5A"/>
    <w:rsid w:val="0027197A"/>
    <w:rsid w:val="002730EA"/>
    <w:rsid w:val="002765AA"/>
    <w:rsid w:val="002827F4"/>
    <w:rsid w:val="00284E89"/>
    <w:rsid w:val="0028621C"/>
    <w:rsid w:val="0029387C"/>
    <w:rsid w:val="002A06B2"/>
    <w:rsid w:val="002A3D29"/>
    <w:rsid w:val="002A449A"/>
    <w:rsid w:val="002A544A"/>
    <w:rsid w:val="002B3EBC"/>
    <w:rsid w:val="002C2A92"/>
    <w:rsid w:val="002C2EF4"/>
    <w:rsid w:val="002C3E57"/>
    <w:rsid w:val="002C6059"/>
    <w:rsid w:val="002D0F7A"/>
    <w:rsid w:val="002D3DF3"/>
    <w:rsid w:val="002E0FD2"/>
    <w:rsid w:val="002F0AD8"/>
    <w:rsid w:val="002F0DE7"/>
    <w:rsid w:val="002F1598"/>
    <w:rsid w:val="002F2566"/>
    <w:rsid w:val="002F37C2"/>
    <w:rsid w:val="002F451C"/>
    <w:rsid w:val="0030585E"/>
    <w:rsid w:val="00306A58"/>
    <w:rsid w:val="003071D1"/>
    <w:rsid w:val="00307738"/>
    <w:rsid w:val="00310AAC"/>
    <w:rsid w:val="0032507A"/>
    <w:rsid w:val="0033083A"/>
    <w:rsid w:val="003320C7"/>
    <w:rsid w:val="003328BA"/>
    <w:rsid w:val="00341CAF"/>
    <w:rsid w:val="003450B8"/>
    <w:rsid w:val="0035189F"/>
    <w:rsid w:val="00353107"/>
    <w:rsid w:val="00354CA3"/>
    <w:rsid w:val="003557E0"/>
    <w:rsid w:val="003571CB"/>
    <w:rsid w:val="00360C6E"/>
    <w:rsid w:val="00363837"/>
    <w:rsid w:val="00374378"/>
    <w:rsid w:val="00376BCE"/>
    <w:rsid w:val="003771A7"/>
    <w:rsid w:val="00377440"/>
    <w:rsid w:val="00380FCE"/>
    <w:rsid w:val="00383E8E"/>
    <w:rsid w:val="00385C4B"/>
    <w:rsid w:val="00392940"/>
    <w:rsid w:val="003A2137"/>
    <w:rsid w:val="003A3FA0"/>
    <w:rsid w:val="003A4867"/>
    <w:rsid w:val="003A58F1"/>
    <w:rsid w:val="003A60B9"/>
    <w:rsid w:val="003A6D0A"/>
    <w:rsid w:val="003A7038"/>
    <w:rsid w:val="003B05FE"/>
    <w:rsid w:val="003B201F"/>
    <w:rsid w:val="003B346A"/>
    <w:rsid w:val="003B34EB"/>
    <w:rsid w:val="003B3FD6"/>
    <w:rsid w:val="003B61F6"/>
    <w:rsid w:val="003C4907"/>
    <w:rsid w:val="003C5097"/>
    <w:rsid w:val="003C5954"/>
    <w:rsid w:val="003C6922"/>
    <w:rsid w:val="003C76CB"/>
    <w:rsid w:val="003C7866"/>
    <w:rsid w:val="003D2B05"/>
    <w:rsid w:val="003D2D85"/>
    <w:rsid w:val="003D31A2"/>
    <w:rsid w:val="003D7D6B"/>
    <w:rsid w:val="003D7F13"/>
    <w:rsid w:val="003E05D4"/>
    <w:rsid w:val="003E3DC7"/>
    <w:rsid w:val="003E507B"/>
    <w:rsid w:val="003F1679"/>
    <w:rsid w:val="003F6181"/>
    <w:rsid w:val="003F7C9F"/>
    <w:rsid w:val="00400565"/>
    <w:rsid w:val="00401902"/>
    <w:rsid w:val="00402AE1"/>
    <w:rsid w:val="0040456E"/>
    <w:rsid w:val="00406D42"/>
    <w:rsid w:val="00411BA3"/>
    <w:rsid w:val="00413FA8"/>
    <w:rsid w:val="00423EE2"/>
    <w:rsid w:val="004256A7"/>
    <w:rsid w:val="00426EAF"/>
    <w:rsid w:val="004311EA"/>
    <w:rsid w:val="00433735"/>
    <w:rsid w:val="0043709B"/>
    <w:rsid w:val="004400DA"/>
    <w:rsid w:val="00441070"/>
    <w:rsid w:val="004422D8"/>
    <w:rsid w:val="00442E89"/>
    <w:rsid w:val="004538BB"/>
    <w:rsid w:val="00454177"/>
    <w:rsid w:val="00455380"/>
    <w:rsid w:val="0046253B"/>
    <w:rsid w:val="00467525"/>
    <w:rsid w:val="0047309A"/>
    <w:rsid w:val="004753C1"/>
    <w:rsid w:val="004761C5"/>
    <w:rsid w:val="00480B18"/>
    <w:rsid w:val="00481936"/>
    <w:rsid w:val="00481F32"/>
    <w:rsid w:val="004863D3"/>
    <w:rsid w:val="0049021C"/>
    <w:rsid w:val="00496062"/>
    <w:rsid w:val="004A78BB"/>
    <w:rsid w:val="004B1768"/>
    <w:rsid w:val="004B3867"/>
    <w:rsid w:val="004B557B"/>
    <w:rsid w:val="004C2AF2"/>
    <w:rsid w:val="004C3473"/>
    <w:rsid w:val="004C37DB"/>
    <w:rsid w:val="004C42A1"/>
    <w:rsid w:val="004C43F5"/>
    <w:rsid w:val="004C4EC2"/>
    <w:rsid w:val="004D064C"/>
    <w:rsid w:val="004D5177"/>
    <w:rsid w:val="004D6BEC"/>
    <w:rsid w:val="004D7DB1"/>
    <w:rsid w:val="004E3260"/>
    <w:rsid w:val="004E34B4"/>
    <w:rsid w:val="004E3BEF"/>
    <w:rsid w:val="004E75AF"/>
    <w:rsid w:val="004F2CF4"/>
    <w:rsid w:val="004F2F5F"/>
    <w:rsid w:val="004F4558"/>
    <w:rsid w:val="00501D64"/>
    <w:rsid w:val="005045FC"/>
    <w:rsid w:val="00504AC6"/>
    <w:rsid w:val="00505040"/>
    <w:rsid w:val="005067D9"/>
    <w:rsid w:val="00516920"/>
    <w:rsid w:val="00517B68"/>
    <w:rsid w:val="00521C28"/>
    <w:rsid w:val="00523631"/>
    <w:rsid w:val="00523B0E"/>
    <w:rsid w:val="00525067"/>
    <w:rsid w:val="00525AB3"/>
    <w:rsid w:val="00536027"/>
    <w:rsid w:val="005400F9"/>
    <w:rsid w:val="005407AE"/>
    <w:rsid w:val="005451C1"/>
    <w:rsid w:val="0054561D"/>
    <w:rsid w:val="0054569D"/>
    <w:rsid w:val="0054741A"/>
    <w:rsid w:val="005509C1"/>
    <w:rsid w:val="00550B14"/>
    <w:rsid w:val="00552FA7"/>
    <w:rsid w:val="0055341E"/>
    <w:rsid w:val="00553CF2"/>
    <w:rsid w:val="00556AE3"/>
    <w:rsid w:val="005614D8"/>
    <w:rsid w:val="00570755"/>
    <w:rsid w:val="0057173F"/>
    <w:rsid w:val="00575914"/>
    <w:rsid w:val="005814A7"/>
    <w:rsid w:val="00581E3E"/>
    <w:rsid w:val="005854BF"/>
    <w:rsid w:val="005861B7"/>
    <w:rsid w:val="00590AEC"/>
    <w:rsid w:val="00592C67"/>
    <w:rsid w:val="005960A3"/>
    <w:rsid w:val="005A2707"/>
    <w:rsid w:val="005A2A68"/>
    <w:rsid w:val="005A55C4"/>
    <w:rsid w:val="005B409C"/>
    <w:rsid w:val="005B593F"/>
    <w:rsid w:val="005C3142"/>
    <w:rsid w:val="005D560B"/>
    <w:rsid w:val="005D6A44"/>
    <w:rsid w:val="005E3709"/>
    <w:rsid w:val="005E5082"/>
    <w:rsid w:val="005E528B"/>
    <w:rsid w:val="005E7395"/>
    <w:rsid w:val="005F6989"/>
    <w:rsid w:val="00600FEE"/>
    <w:rsid w:val="006031A0"/>
    <w:rsid w:val="006047B2"/>
    <w:rsid w:val="00605660"/>
    <w:rsid w:val="00611268"/>
    <w:rsid w:val="00612981"/>
    <w:rsid w:val="00612BFA"/>
    <w:rsid w:val="006238E1"/>
    <w:rsid w:val="006245ED"/>
    <w:rsid w:val="006261AD"/>
    <w:rsid w:val="00632853"/>
    <w:rsid w:val="00635073"/>
    <w:rsid w:val="00636778"/>
    <w:rsid w:val="00640617"/>
    <w:rsid w:val="00641820"/>
    <w:rsid w:val="00643C45"/>
    <w:rsid w:val="006506D8"/>
    <w:rsid w:val="00652467"/>
    <w:rsid w:val="006529C1"/>
    <w:rsid w:val="006537FF"/>
    <w:rsid w:val="006544E3"/>
    <w:rsid w:val="006608FC"/>
    <w:rsid w:val="006636D5"/>
    <w:rsid w:val="0066767A"/>
    <w:rsid w:val="006702B8"/>
    <w:rsid w:val="00671ADA"/>
    <w:rsid w:val="00671BDC"/>
    <w:rsid w:val="00673546"/>
    <w:rsid w:val="0067569C"/>
    <w:rsid w:val="00675CFD"/>
    <w:rsid w:val="00676CB0"/>
    <w:rsid w:val="00677738"/>
    <w:rsid w:val="0068329E"/>
    <w:rsid w:val="006850A9"/>
    <w:rsid w:val="006862B7"/>
    <w:rsid w:val="006869DF"/>
    <w:rsid w:val="0069161E"/>
    <w:rsid w:val="0069281E"/>
    <w:rsid w:val="0069375B"/>
    <w:rsid w:val="006949FF"/>
    <w:rsid w:val="00696414"/>
    <w:rsid w:val="006A0616"/>
    <w:rsid w:val="006A24D5"/>
    <w:rsid w:val="006A2594"/>
    <w:rsid w:val="006A35AA"/>
    <w:rsid w:val="006A3B8F"/>
    <w:rsid w:val="006A4635"/>
    <w:rsid w:val="006A4C79"/>
    <w:rsid w:val="006A56CE"/>
    <w:rsid w:val="006B023C"/>
    <w:rsid w:val="006B10DD"/>
    <w:rsid w:val="006B118D"/>
    <w:rsid w:val="006B18D3"/>
    <w:rsid w:val="006B1EB1"/>
    <w:rsid w:val="006B7F03"/>
    <w:rsid w:val="006C1FB7"/>
    <w:rsid w:val="006C3714"/>
    <w:rsid w:val="006C5B4F"/>
    <w:rsid w:val="006C6509"/>
    <w:rsid w:val="006D1782"/>
    <w:rsid w:val="006D1A39"/>
    <w:rsid w:val="006D4AA9"/>
    <w:rsid w:val="006D7614"/>
    <w:rsid w:val="006E0EE2"/>
    <w:rsid w:val="006E1E8F"/>
    <w:rsid w:val="006E7689"/>
    <w:rsid w:val="006E7D43"/>
    <w:rsid w:val="006F0845"/>
    <w:rsid w:val="006F22CE"/>
    <w:rsid w:val="006F4165"/>
    <w:rsid w:val="006F502A"/>
    <w:rsid w:val="007017B6"/>
    <w:rsid w:val="00703520"/>
    <w:rsid w:val="007061FF"/>
    <w:rsid w:val="00715CCE"/>
    <w:rsid w:val="0072167C"/>
    <w:rsid w:val="00721DF1"/>
    <w:rsid w:val="00732644"/>
    <w:rsid w:val="00735369"/>
    <w:rsid w:val="0074006E"/>
    <w:rsid w:val="00750740"/>
    <w:rsid w:val="007527E0"/>
    <w:rsid w:val="0075367D"/>
    <w:rsid w:val="0076348F"/>
    <w:rsid w:val="007649D8"/>
    <w:rsid w:val="00764D77"/>
    <w:rsid w:val="00780106"/>
    <w:rsid w:val="00780534"/>
    <w:rsid w:val="00781E78"/>
    <w:rsid w:val="00784568"/>
    <w:rsid w:val="007865DE"/>
    <w:rsid w:val="00786C7E"/>
    <w:rsid w:val="007938EE"/>
    <w:rsid w:val="00797809"/>
    <w:rsid w:val="007A07EA"/>
    <w:rsid w:val="007B17B2"/>
    <w:rsid w:val="007B4C8D"/>
    <w:rsid w:val="007B759C"/>
    <w:rsid w:val="007C08AF"/>
    <w:rsid w:val="007C56AE"/>
    <w:rsid w:val="007D1345"/>
    <w:rsid w:val="007D1BD9"/>
    <w:rsid w:val="007D2CCF"/>
    <w:rsid w:val="007D62B3"/>
    <w:rsid w:val="007D7DB0"/>
    <w:rsid w:val="007E1269"/>
    <w:rsid w:val="007E3A15"/>
    <w:rsid w:val="007E5BAE"/>
    <w:rsid w:val="007E7043"/>
    <w:rsid w:val="007F12BB"/>
    <w:rsid w:val="007F2234"/>
    <w:rsid w:val="007F2427"/>
    <w:rsid w:val="007F3236"/>
    <w:rsid w:val="007F3397"/>
    <w:rsid w:val="007F4F9C"/>
    <w:rsid w:val="008031BE"/>
    <w:rsid w:val="00814B02"/>
    <w:rsid w:val="00815694"/>
    <w:rsid w:val="00822681"/>
    <w:rsid w:val="0082434E"/>
    <w:rsid w:val="00824EF4"/>
    <w:rsid w:val="00825D86"/>
    <w:rsid w:val="00827060"/>
    <w:rsid w:val="00833234"/>
    <w:rsid w:val="0083409F"/>
    <w:rsid w:val="00837D33"/>
    <w:rsid w:val="0084140C"/>
    <w:rsid w:val="00841BE8"/>
    <w:rsid w:val="00845346"/>
    <w:rsid w:val="0084621E"/>
    <w:rsid w:val="008467BD"/>
    <w:rsid w:val="00850077"/>
    <w:rsid w:val="00850EEB"/>
    <w:rsid w:val="008531CA"/>
    <w:rsid w:val="008637F3"/>
    <w:rsid w:val="00867315"/>
    <w:rsid w:val="00873984"/>
    <w:rsid w:val="00873FC1"/>
    <w:rsid w:val="00881635"/>
    <w:rsid w:val="0088357F"/>
    <w:rsid w:val="0088371E"/>
    <w:rsid w:val="008840EF"/>
    <w:rsid w:val="00887347"/>
    <w:rsid w:val="008A0C0C"/>
    <w:rsid w:val="008A36BB"/>
    <w:rsid w:val="008A44FF"/>
    <w:rsid w:val="008A52B0"/>
    <w:rsid w:val="008A56A2"/>
    <w:rsid w:val="008A64A7"/>
    <w:rsid w:val="008B2464"/>
    <w:rsid w:val="008C0332"/>
    <w:rsid w:val="008C20EA"/>
    <w:rsid w:val="008C3176"/>
    <w:rsid w:val="008C5C1D"/>
    <w:rsid w:val="008D0230"/>
    <w:rsid w:val="008D3D1B"/>
    <w:rsid w:val="008E4251"/>
    <w:rsid w:val="008E464D"/>
    <w:rsid w:val="008E5237"/>
    <w:rsid w:val="008E58BB"/>
    <w:rsid w:val="008F0005"/>
    <w:rsid w:val="008F0AFA"/>
    <w:rsid w:val="008F7143"/>
    <w:rsid w:val="00901096"/>
    <w:rsid w:val="00901E19"/>
    <w:rsid w:val="00904271"/>
    <w:rsid w:val="0091591D"/>
    <w:rsid w:val="00915DB6"/>
    <w:rsid w:val="00916C86"/>
    <w:rsid w:val="009217BF"/>
    <w:rsid w:val="00926B2C"/>
    <w:rsid w:val="00926BA0"/>
    <w:rsid w:val="009315EC"/>
    <w:rsid w:val="00934346"/>
    <w:rsid w:val="00936633"/>
    <w:rsid w:val="009404B9"/>
    <w:rsid w:val="0094373B"/>
    <w:rsid w:val="00943872"/>
    <w:rsid w:val="009453C5"/>
    <w:rsid w:val="0094668A"/>
    <w:rsid w:val="00947808"/>
    <w:rsid w:val="009478DA"/>
    <w:rsid w:val="00951476"/>
    <w:rsid w:val="009524BE"/>
    <w:rsid w:val="009626CA"/>
    <w:rsid w:val="00964153"/>
    <w:rsid w:val="0096674F"/>
    <w:rsid w:val="00967088"/>
    <w:rsid w:val="00971FAD"/>
    <w:rsid w:val="00976817"/>
    <w:rsid w:val="009802B7"/>
    <w:rsid w:val="0098076F"/>
    <w:rsid w:val="00980E00"/>
    <w:rsid w:val="00981FB0"/>
    <w:rsid w:val="00983278"/>
    <w:rsid w:val="009876B7"/>
    <w:rsid w:val="00990567"/>
    <w:rsid w:val="00993524"/>
    <w:rsid w:val="00993DE7"/>
    <w:rsid w:val="009A2051"/>
    <w:rsid w:val="009A3374"/>
    <w:rsid w:val="009A381B"/>
    <w:rsid w:val="009A3EA3"/>
    <w:rsid w:val="009A4459"/>
    <w:rsid w:val="009B0292"/>
    <w:rsid w:val="009B0992"/>
    <w:rsid w:val="009C0EA5"/>
    <w:rsid w:val="009C4C90"/>
    <w:rsid w:val="009C6493"/>
    <w:rsid w:val="009D0481"/>
    <w:rsid w:val="009D11E2"/>
    <w:rsid w:val="009D36D3"/>
    <w:rsid w:val="009D4411"/>
    <w:rsid w:val="009E31BD"/>
    <w:rsid w:val="009E3AA3"/>
    <w:rsid w:val="009E422A"/>
    <w:rsid w:val="009E4241"/>
    <w:rsid w:val="009E630E"/>
    <w:rsid w:val="009E7877"/>
    <w:rsid w:val="009F0039"/>
    <w:rsid w:val="009F339F"/>
    <w:rsid w:val="009F6885"/>
    <w:rsid w:val="00A04DD7"/>
    <w:rsid w:val="00A07EAE"/>
    <w:rsid w:val="00A1552E"/>
    <w:rsid w:val="00A16880"/>
    <w:rsid w:val="00A169F2"/>
    <w:rsid w:val="00A2188A"/>
    <w:rsid w:val="00A32551"/>
    <w:rsid w:val="00A34551"/>
    <w:rsid w:val="00A37B5D"/>
    <w:rsid w:val="00A40432"/>
    <w:rsid w:val="00A41D00"/>
    <w:rsid w:val="00A42CE7"/>
    <w:rsid w:val="00A46E18"/>
    <w:rsid w:val="00A470F4"/>
    <w:rsid w:val="00A51FA2"/>
    <w:rsid w:val="00A52A2B"/>
    <w:rsid w:val="00A60E57"/>
    <w:rsid w:val="00A61A2C"/>
    <w:rsid w:val="00A61FB2"/>
    <w:rsid w:val="00A63447"/>
    <w:rsid w:val="00A6495C"/>
    <w:rsid w:val="00A64C2C"/>
    <w:rsid w:val="00A66167"/>
    <w:rsid w:val="00A66ECB"/>
    <w:rsid w:val="00A67913"/>
    <w:rsid w:val="00A81918"/>
    <w:rsid w:val="00A92C6A"/>
    <w:rsid w:val="00A93E4D"/>
    <w:rsid w:val="00A97405"/>
    <w:rsid w:val="00A97469"/>
    <w:rsid w:val="00AA1C3F"/>
    <w:rsid w:val="00AA3881"/>
    <w:rsid w:val="00AA51BA"/>
    <w:rsid w:val="00AA6EFF"/>
    <w:rsid w:val="00AB1F25"/>
    <w:rsid w:val="00AB6003"/>
    <w:rsid w:val="00AB6D00"/>
    <w:rsid w:val="00AC0F34"/>
    <w:rsid w:val="00AC361B"/>
    <w:rsid w:val="00AD368F"/>
    <w:rsid w:val="00AD6CD4"/>
    <w:rsid w:val="00AD6D00"/>
    <w:rsid w:val="00AE053D"/>
    <w:rsid w:val="00AE3B40"/>
    <w:rsid w:val="00AE3DE4"/>
    <w:rsid w:val="00AE45D0"/>
    <w:rsid w:val="00AE4F20"/>
    <w:rsid w:val="00AE607D"/>
    <w:rsid w:val="00AE64C7"/>
    <w:rsid w:val="00AF5F77"/>
    <w:rsid w:val="00B00935"/>
    <w:rsid w:val="00B04CED"/>
    <w:rsid w:val="00B06D9A"/>
    <w:rsid w:val="00B12ECA"/>
    <w:rsid w:val="00B1736F"/>
    <w:rsid w:val="00B208BE"/>
    <w:rsid w:val="00B31EAE"/>
    <w:rsid w:val="00B334D4"/>
    <w:rsid w:val="00B35B02"/>
    <w:rsid w:val="00B37FA6"/>
    <w:rsid w:val="00B4073D"/>
    <w:rsid w:val="00B40F22"/>
    <w:rsid w:val="00B4509D"/>
    <w:rsid w:val="00B450AD"/>
    <w:rsid w:val="00B45162"/>
    <w:rsid w:val="00B4700E"/>
    <w:rsid w:val="00B47BF9"/>
    <w:rsid w:val="00B57FE6"/>
    <w:rsid w:val="00B60C95"/>
    <w:rsid w:val="00B638FF"/>
    <w:rsid w:val="00B64037"/>
    <w:rsid w:val="00B6523A"/>
    <w:rsid w:val="00B72713"/>
    <w:rsid w:val="00B72FFE"/>
    <w:rsid w:val="00B73E4D"/>
    <w:rsid w:val="00B771C2"/>
    <w:rsid w:val="00B86365"/>
    <w:rsid w:val="00B902E7"/>
    <w:rsid w:val="00B93682"/>
    <w:rsid w:val="00B9384D"/>
    <w:rsid w:val="00B96F06"/>
    <w:rsid w:val="00B9719C"/>
    <w:rsid w:val="00BA04A4"/>
    <w:rsid w:val="00BA6BE0"/>
    <w:rsid w:val="00BB3EB9"/>
    <w:rsid w:val="00BC7536"/>
    <w:rsid w:val="00BD1E7E"/>
    <w:rsid w:val="00BD2FD2"/>
    <w:rsid w:val="00BD48D2"/>
    <w:rsid w:val="00BD6BC3"/>
    <w:rsid w:val="00BE1B64"/>
    <w:rsid w:val="00BE3880"/>
    <w:rsid w:val="00BE40C5"/>
    <w:rsid w:val="00BE5283"/>
    <w:rsid w:val="00BE56B2"/>
    <w:rsid w:val="00BF0371"/>
    <w:rsid w:val="00BF25CD"/>
    <w:rsid w:val="00BF295C"/>
    <w:rsid w:val="00BF4719"/>
    <w:rsid w:val="00BF4D83"/>
    <w:rsid w:val="00BF7220"/>
    <w:rsid w:val="00C11BB0"/>
    <w:rsid w:val="00C12709"/>
    <w:rsid w:val="00C151E5"/>
    <w:rsid w:val="00C164C7"/>
    <w:rsid w:val="00C16ECA"/>
    <w:rsid w:val="00C25411"/>
    <w:rsid w:val="00C25DD9"/>
    <w:rsid w:val="00C2731D"/>
    <w:rsid w:val="00C277BA"/>
    <w:rsid w:val="00C31113"/>
    <w:rsid w:val="00C32228"/>
    <w:rsid w:val="00C41241"/>
    <w:rsid w:val="00C42C8F"/>
    <w:rsid w:val="00C45359"/>
    <w:rsid w:val="00C4650B"/>
    <w:rsid w:val="00C46578"/>
    <w:rsid w:val="00C477BE"/>
    <w:rsid w:val="00C47C22"/>
    <w:rsid w:val="00C51A0F"/>
    <w:rsid w:val="00C52AC3"/>
    <w:rsid w:val="00C53D83"/>
    <w:rsid w:val="00C60E95"/>
    <w:rsid w:val="00C61F04"/>
    <w:rsid w:val="00C6702A"/>
    <w:rsid w:val="00C67E5B"/>
    <w:rsid w:val="00C72AF4"/>
    <w:rsid w:val="00C821EF"/>
    <w:rsid w:val="00C84C20"/>
    <w:rsid w:val="00C87EAC"/>
    <w:rsid w:val="00C910A4"/>
    <w:rsid w:val="00C9117B"/>
    <w:rsid w:val="00C91333"/>
    <w:rsid w:val="00C91E97"/>
    <w:rsid w:val="00C935D6"/>
    <w:rsid w:val="00C95EE1"/>
    <w:rsid w:val="00C96A63"/>
    <w:rsid w:val="00C97818"/>
    <w:rsid w:val="00CA0DE5"/>
    <w:rsid w:val="00CA1EAC"/>
    <w:rsid w:val="00CA2A3B"/>
    <w:rsid w:val="00CA3BF1"/>
    <w:rsid w:val="00CA5845"/>
    <w:rsid w:val="00CB1CD6"/>
    <w:rsid w:val="00CB2583"/>
    <w:rsid w:val="00CB7EFB"/>
    <w:rsid w:val="00CB7FE7"/>
    <w:rsid w:val="00CC2EAA"/>
    <w:rsid w:val="00CC6770"/>
    <w:rsid w:val="00CC70FD"/>
    <w:rsid w:val="00CD307A"/>
    <w:rsid w:val="00CD326B"/>
    <w:rsid w:val="00CD77C1"/>
    <w:rsid w:val="00CE57EF"/>
    <w:rsid w:val="00CE6957"/>
    <w:rsid w:val="00CF741D"/>
    <w:rsid w:val="00D11FF8"/>
    <w:rsid w:val="00D13A83"/>
    <w:rsid w:val="00D15A23"/>
    <w:rsid w:val="00D178BB"/>
    <w:rsid w:val="00D200AC"/>
    <w:rsid w:val="00D259D1"/>
    <w:rsid w:val="00D27C23"/>
    <w:rsid w:val="00D30D83"/>
    <w:rsid w:val="00D32439"/>
    <w:rsid w:val="00D40767"/>
    <w:rsid w:val="00D40D5C"/>
    <w:rsid w:val="00D43F8C"/>
    <w:rsid w:val="00D44D56"/>
    <w:rsid w:val="00D4547B"/>
    <w:rsid w:val="00D4563C"/>
    <w:rsid w:val="00D45A16"/>
    <w:rsid w:val="00D47CCE"/>
    <w:rsid w:val="00D5077A"/>
    <w:rsid w:val="00D5313A"/>
    <w:rsid w:val="00D572AA"/>
    <w:rsid w:val="00D60454"/>
    <w:rsid w:val="00D61E83"/>
    <w:rsid w:val="00D649FE"/>
    <w:rsid w:val="00D65025"/>
    <w:rsid w:val="00D65526"/>
    <w:rsid w:val="00D66AF1"/>
    <w:rsid w:val="00D722D7"/>
    <w:rsid w:val="00D77B8C"/>
    <w:rsid w:val="00D82D17"/>
    <w:rsid w:val="00D82E57"/>
    <w:rsid w:val="00D90BA8"/>
    <w:rsid w:val="00D9159B"/>
    <w:rsid w:val="00D93708"/>
    <w:rsid w:val="00DA2F09"/>
    <w:rsid w:val="00DA6EDC"/>
    <w:rsid w:val="00DB47BB"/>
    <w:rsid w:val="00DC0B88"/>
    <w:rsid w:val="00DC0FA9"/>
    <w:rsid w:val="00DC2E42"/>
    <w:rsid w:val="00DC67FD"/>
    <w:rsid w:val="00DC6A9F"/>
    <w:rsid w:val="00DD05D6"/>
    <w:rsid w:val="00DD11DB"/>
    <w:rsid w:val="00DD2DCC"/>
    <w:rsid w:val="00DD42EE"/>
    <w:rsid w:val="00DE1D76"/>
    <w:rsid w:val="00DE5076"/>
    <w:rsid w:val="00DE5CE8"/>
    <w:rsid w:val="00DE5CF7"/>
    <w:rsid w:val="00DE678E"/>
    <w:rsid w:val="00DF0EE6"/>
    <w:rsid w:val="00DF14E4"/>
    <w:rsid w:val="00DF233F"/>
    <w:rsid w:val="00DF3B0A"/>
    <w:rsid w:val="00DF6AC1"/>
    <w:rsid w:val="00E05A1E"/>
    <w:rsid w:val="00E10D20"/>
    <w:rsid w:val="00E12783"/>
    <w:rsid w:val="00E12A15"/>
    <w:rsid w:val="00E12A1B"/>
    <w:rsid w:val="00E148DC"/>
    <w:rsid w:val="00E20C17"/>
    <w:rsid w:val="00E24E13"/>
    <w:rsid w:val="00E25251"/>
    <w:rsid w:val="00E2612E"/>
    <w:rsid w:val="00E305C5"/>
    <w:rsid w:val="00E33090"/>
    <w:rsid w:val="00E346A9"/>
    <w:rsid w:val="00E34CB8"/>
    <w:rsid w:val="00E35261"/>
    <w:rsid w:val="00E37860"/>
    <w:rsid w:val="00E37BC3"/>
    <w:rsid w:val="00E37DEC"/>
    <w:rsid w:val="00E4471B"/>
    <w:rsid w:val="00E45112"/>
    <w:rsid w:val="00E46214"/>
    <w:rsid w:val="00E54068"/>
    <w:rsid w:val="00E56500"/>
    <w:rsid w:val="00E56E1B"/>
    <w:rsid w:val="00E5769D"/>
    <w:rsid w:val="00E61FEB"/>
    <w:rsid w:val="00E63B60"/>
    <w:rsid w:val="00E6764A"/>
    <w:rsid w:val="00E701CE"/>
    <w:rsid w:val="00E70D25"/>
    <w:rsid w:val="00E70F6E"/>
    <w:rsid w:val="00E76EC4"/>
    <w:rsid w:val="00E7737A"/>
    <w:rsid w:val="00E813E0"/>
    <w:rsid w:val="00E85C75"/>
    <w:rsid w:val="00E90D9D"/>
    <w:rsid w:val="00E91B73"/>
    <w:rsid w:val="00EB2489"/>
    <w:rsid w:val="00EB4707"/>
    <w:rsid w:val="00EB4F87"/>
    <w:rsid w:val="00EB6369"/>
    <w:rsid w:val="00EB6741"/>
    <w:rsid w:val="00EB779A"/>
    <w:rsid w:val="00EB7945"/>
    <w:rsid w:val="00EC3D43"/>
    <w:rsid w:val="00EC753A"/>
    <w:rsid w:val="00ED221B"/>
    <w:rsid w:val="00ED3037"/>
    <w:rsid w:val="00ED5FC3"/>
    <w:rsid w:val="00ED7C63"/>
    <w:rsid w:val="00EE267B"/>
    <w:rsid w:val="00EF1691"/>
    <w:rsid w:val="00EF1D5B"/>
    <w:rsid w:val="00EF23A8"/>
    <w:rsid w:val="00EF2CA1"/>
    <w:rsid w:val="00EF31CE"/>
    <w:rsid w:val="00EF4ED1"/>
    <w:rsid w:val="00EF6B74"/>
    <w:rsid w:val="00EF7B3E"/>
    <w:rsid w:val="00F02035"/>
    <w:rsid w:val="00F028C9"/>
    <w:rsid w:val="00F048E0"/>
    <w:rsid w:val="00F05E1D"/>
    <w:rsid w:val="00F12062"/>
    <w:rsid w:val="00F137F2"/>
    <w:rsid w:val="00F161E7"/>
    <w:rsid w:val="00F16C0B"/>
    <w:rsid w:val="00F24F80"/>
    <w:rsid w:val="00F26D58"/>
    <w:rsid w:val="00F3349F"/>
    <w:rsid w:val="00F335D7"/>
    <w:rsid w:val="00F35333"/>
    <w:rsid w:val="00F40E5E"/>
    <w:rsid w:val="00F42BA0"/>
    <w:rsid w:val="00F465BE"/>
    <w:rsid w:val="00F600B8"/>
    <w:rsid w:val="00F61936"/>
    <w:rsid w:val="00F61D8C"/>
    <w:rsid w:val="00F62505"/>
    <w:rsid w:val="00F6542E"/>
    <w:rsid w:val="00F6651D"/>
    <w:rsid w:val="00F66A3A"/>
    <w:rsid w:val="00F7293A"/>
    <w:rsid w:val="00F7315E"/>
    <w:rsid w:val="00F736ED"/>
    <w:rsid w:val="00F745DB"/>
    <w:rsid w:val="00F8220A"/>
    <w:rsid w:val="00F849F8"/>
    <w:rsid w:val="00F85AE5"/>
    <w:rsid w:val="00F90D2D"/>
    <w:rsid w:val="00F95BEA"/>
    <w:rsid w:val="00F97353"/>
    <w:rsid w:val="00F97429"/>
    <w:rsid w:val="00FA4FCF"/>
    <w:rsid w:val="00FB23A6"/>
    <w:rsid w:val="00FB24A1"/>
    <w:rsid w:val="00FB27ED"/>
    <w:rsid w:val="00FB5A12"/>
    <w:rsid w:val="00FB5F8C"/>
    <w:rsid w:val="00FC4E09"/>
    <w:rsid w:val="00FD1A3A"/>
    <w:rsid w:val="00FD3A87"/>
    <w:rsid w:val="00FD60C5"/>
    <w:rsid w:val="00FE004C"/>
    <w:rsid w:val="00FE602F"/>
    <w:rsid w:val="00FE786C"/>
    <w:rsid w:val="00FF1ED4"/>
    <w:rsid w:val="00FF5101"/>
    <w:rsid w:val="00FF654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5B5D6B"/>
  <w15:chartTrackingRefBased/>
  <w15:docId w15:val="{7A3AAA4A-BD47-D642-9A50-16D72B08B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paragraph" w:styleId="berschrift1">
    <w:name w:val="heading 1"/>
    <w:basedOn w:val="Standard"/>
    <w:next w:val="Standard"/>
    <w:link w:val="berschrift1Zchn"/>
    <w:uiPriority w:val="9"/>
    <w:qFormat/>
    <w:rsid w:val="0057591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5E528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DF0EE6"/>
    <w:pPr>
      <w:keepNext/>
      <w:keepLines/>
      <w:spacing w:before="40"/>
      <w:outlineLvl w:val="2"/>
    </w:pPr>
    <w:rPr>
      <w:rFonts w:asciiTheme="majorHAnsi" w:eastAsiaTheme="majorEastAsia" w:hAnsiTheme="majorHAnsi" w:cstheme="majorBidi"/>
      <w:color w:val="1F3763" w:themeColor="accent1" w:themeShade="7F"/>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75914"/>
    <w:rPr>
      <w:rFonts w:asciiTheme="majorHAnsi" w:eastAsiaTheme="majorEastAsia" w:hAnsiTheme="majorHAnsi" w:cstheme="majorBidi"/>
      <w:color w:val="2F5496" w:themeColor="accent1" w:themeShade="BF"/>
      <w:sz w:val="32"/>
      <w:szCs w:val="32"/>
      <w:lang w:val="en-US"/>
    </w:rPr>
  </w:style>
  <w:style w:type="character" w:customStyle="1" w:styleId="berschrift2Zchn">
    <w:name w:val="Überschrift 2 Zchn"/>
    <w:basedOn w:val="Absatz-Standardschriftart"/>
    <w:link w:val="berschrift2"/>
    <w:uiPriority w:val="9"/>
    <w:rsid w:val="005E528B"/>
    <w:rPr>
      <w:rFonts w:asciiTheme="majorHAnsi" w:eastAsiaTheme="majorEastAsia" w:hAnsiTheme="majorHAnsi" w:cstheme="majorBidi"/>
      <w:color w:val="2F5496" w:themeColor="accent1" w:themeShade="BF"/>
      <w:sz w:val="26"/>
      <w:szCs w:val="26"/>
      <w:lang w:val="en-US"/>
    </w:rPr>
  </w:style>
  <w:style w:type="paragraph" w:styleId="Listenabsatz">
    <w:name w:val="List Paragraph"/>
    <w:basedOn w:val="Standard"/>
    <w:uiPriority w:val="34"/>
    <w:qFormat/>
    <w:rsid w:val="004400DA"/>
    <w:pPr>
      <w:ind w:left="720"/>
      <w:contextualSpacing/>
    </w:pPr>
  </w:style>
  <w:style w:type="paragraph" w:customStyle="1" w:styleId="EndNoteBibliographyTitle">
    <w:name w:val="EndNote Bibliography Title"/>
    <w:basedOn w:val="Standard"/>
    <w:link w:val="EndNoteBibliographyTitleZchn"/>
    <w:rsid w:val="009C4C90"/>
    <w:pPr>
      <w:jc w:val="center"/>
    </w:pPr>
    <w:rPr>
      <w:rFonts w:ascii="Calibri" w:hAnsi="Calibri" w:cs="Calibri"/>
    </w:rPr>
  </w:style>
  <w:style w:type="character" w:customStyle="1" w:styleId="EndNoteBibliographyTitleZchn">
    <w:name w:val="EndNote Bibliography Title Zchn"/>
    <w:basedOn w:val="Absatz-Standardschriftart"/>
    <w:link w:val="EndNoteBibliographyTitle"/>
    <w:rsid w:val="009C4C90"/>
    <w:rPr>
      <w:rFonts w:ascii="Calibri" w:hAnsi="Calibri" w:cs="Calibri"/>
      <w:lang w:val="en-US"/>
    </w:rPr>
  </w:style>
  <w:style w:type="paragraph" w:customStyle="1" w:styleId="EndNoteBibliography">
    <w:name w:val="EndNote Bibliography"/>
    <w:basedOn w:val="Standard"/>
    <w:link w:val="EndNoteBibliographyZchn"/>
    <w:rsid w:val="009C4C90"/>
    <w:rPr>
      <w:rFonts w:ascii="Calibri" w:hAnsi="Calibri" w:cs="Calibri"/>
    </w:rPr>
  </w:style>
  <w:style w:type="character" w:customStyle="1" w:styleId="EndNoteBibliographyZchn">
    <w:name w:val="EndNote Bibliography Zchn"/>
    <w:basedOn w:val="Absatz-Standardschriftart"/>
    <w:link w:val="EndNoteBibliography"/>
    <w:rsid w:val="009C4C90"/>
    <w:rPr>
      <w:rFonts w:ascii="Calibri" w:hAnsi="Calibri" w:cs="Calibri"/>
      <w:lang w:val="en-US"/>
    </w:rPr>
  </w:style>
  <w:style w:type="paragraph" w:styleId="Funotentext">
    <w:name w:val="footnote text"/>
    <w:basedOn w:val="Standard"/>
    <w:link w:val="FunotentextZchn"/>
    <w:uiPriority w:val="99"/>
    <w:semiHidden/>
    <w:unhideWhenUsed/>
    <w:rsid w:val="00DE5CF7"/>
    <w:rPr>
      <w:sz w:val="20"/>
      <w:szCs w:val="20"/>
    </w:rPr>
  </w:style>
  <w:style w:type="character" w:customStyle="1" w:styleId="FunotentextZchn">
    <w:name w:val="Fußnotentext Zchn"/>
    <w:basedOn w:val="Absatz-Standardschriftart"/>
    <w:link w:val="Funotentext"/>
    <w:uiPriority w:val="99"/>
    <w:semiHidden/>
    <w:rsid w:val="00DE5CF7"/>
    <w:rPr>
      <w:sz w:val="20"/>
      <w:szCs w:val="20"/>
      <w:lang w:val="en-US"/>
    </w:rPr>
  </w:style>
  <w:style w:type="character" w:styleId="Funotenzeichen">
    <w:name w:val="footnote reference"/>
    <w:basedOn w:val="Absatz-Standardschriftart"/>
    <w:uiPriority w:val="99"/>
    <w:semiHidden/>
    <w:unhideWhenUsed/>
    <w:rsid w:val="00DE5CF7"/>
    <w:rPr>
      <w:vertAlign w:val="superscript"/>
    </w:rPr>
  </w:style>
  <w:style w:type="character" w:customStyle="1" w:styleId="aliasmainname">
    <w:name w:val="aliasmainname"/>
    <w:basedOn w:val="Absatz-Standardschriftart"/>
    <w:rsid w:val="007F3397"/>
  </w:style>
  <w:style w:type="character" w:customStyle="1" w:styleId="berschrift3Zchn">
    <w:name w:val="Überschrift 3 Zchn"/>
    <w:basedOn w:val="Absatz-Standardschriftart"/>
    <w:link w:val="berschrift3"/>
    <w:uiPriority w:val="9"/>
    <w:rsid w:val="00DF0EE6"/>
    <w:rPr>
      <w:rFonts w:asciiTheme="majorHAnsi" w:eastAsiaTheme="majorEastAsia" w:hAnsiTheme="majorHAnsi" w:cstheme="majorBidi"/>
      <w:color w:val="1F3763" w:themeColor="accent1" w:themeShade="7F"/>
      <w:lang w:eastAsia="de-DE"/>
    </w:rPr>
  </w:style>
  <w:style w:type="character" w:styleId="Hyperlink">
    <w:name w:val="Hyperlink"/>
    <w:basedOn w:val="Absatz-Standardschriftart"/>
    <w:uiPriority w:val="99"/>
    <w:unhideWhenUsed/>
    <w:rsid w:val="00DF0EE6"/>
    <w:rPr>
      <w:color w:val="0563C1" w:themeColor="hyperlink"/>
      <w:u w:val="single"/>
    </w:rPr>
  </w:style>
  <w:style w:type="character" w:styleId="Kommentarzeichen">
    <w:name w:val="annotation reference"/>
    <w:basedOn w:val="Absatz-Standardschriftart"/>
    <w:uiPriority w:val="99"/>
    <w:semiHidden/>
    <w:unhideWhenUsed/>
    <w:rsid w:val="00AA1C3F"/>
    <w:rPr>
      <w:sz w:val="16"/>
      <w:szCs w:val="16"/>
    </w:rPr>
  </w:style>
  <w:style w:type="paragraph" w:styleId="Kommentartext">
    <w:name w:val="annotation text"/>
    <w:basedOn w:val="Standard"/>
    <w:link w:val="KommentartextZchn"/>
    <w:uiPriority w:val="99"/>
    <w:semiHidden/>
    <w:unhideWhenUsed/>
    <w:rsid w:val="00AA1C3F"/>
    <w:rPr>
      <w:sz w:val="20"/>
      <w:szCs w:val="20"/>
    </w:rPr>
  </w:style>
  <w:style w:type="character" w:customStyle="1" w:styleId="KommentartextZchn">
    <w:name w:val="Kommentartext Zchn"/>
    <w:basedOn w:val="Absatz-Standardschriftart"/>
    <w:link w:val="Kommentartext"/>
    <w:uiPriority w:val="99"/>
    <w:semiHidden/>
    <w:rsid w:val="00AA1C3F"/>
    <w:rPr>
      <w:sz w:val="20"/>
      <w:szCs w:val="20"/>
      <w:lang w:val="en-US"/>
    </w:rPr>
  </w:style>
  <w:style w:type="paragraph" w:styleId="Kommentarthema">
    <w:name w:val="annotation subject"/>
    <w:basedOn w:val="Kommentartext"/>
    <w:next w:val="Kommentartext"/>
    <w:link w:val="KommentarthemaZchn"/>
    <w:uiPriority w:val="99"/>
    <w:semiHidden/>
    <w:unhideWhenUsed/>
    <w:rsid w:val="00AA1C3F"/>
    <w:rPr>
      <w:b/>
      <w:bCs/>
    </w:rPr>
  </w:style>
  <w:style w:type="character" w:customStyle="1" w:styleId="KommentarthemaZchn">
    <w:name w:val="Kommentarthema Zchn"/>
    <w:basedOn w:val="KommentartextZchn"/>
    <w:link w:val="Kommentarthema"/>
    <w:uiPriority w:val="99"/>
    <w:semiHidden/>
    <w:rsid w:val="00AA1C3F"/>
    <w:rPr>
      <w:b/>
      <w:bCs/>
      <w:sz w:val="20"/>
      <w:szCs w:val="20"/>
      <w:lang w:val="en-US"/>
    </w:rPr>
  </w:style>
  <w:style w:type="paragraph" w:styleId="berarbeitung">
    <w:name w:val="Revision"/>
    <w:hidden/>
    <w:uiPriority w:val="99"/>
    <w:semiHidden/>
    <w:rsid w:val="0074006E"/>
    <w:rPr>
      <w:lang w:val="en-US"/>
    </w:rPr>
  </w:style>
  <w:style w:type="paragraph" w:styleId="Fuzeile">
    <w:name w:val="footer"/>
    <w:basedOn w:val="Standard"/>
    <w:link w:val="FuzeileZchn"/>
    <w:uiPriority w:val="99"/>
    <w:unhideWhenUsed/>
    <w:rsid w:val="00226450"/>
    <w:pPr>
      <w:tabs>
        <w:tab w:val="center" w:pos="4536"/>
        <w:tab w:val="right" w:pos="9072"/>
      </w:tabs>
    </w:pPr>
  </w:style>
  <w:style w:type="character" w:customStyle="1" w:styleId="FuzeileZchn">
    <w:name w:val="Fußzeile Zchn"/>
    <w:basedOn w:val="Absatz-Standardschriftart"/>
    <w:link w:val="Fuzeile"/>
    <w:uiPriority w:val="99"/>
    <w:rsid w:val="00226450"/>
    <w:rPr>
      <w:lang w:val="en-US"/>
    </w:rPr>
  </w:style>
  <w:style w:type="character" w:styleId="Seitenzahl">
    <w:name w:val="page number"/>
    <w:basedOn w:val="Absatz-Standardschriftart"/>
    <w:uiPriority w:val="99"/>
    <w:semiHidden/>
    <w:unhideWhenUsed/>
    <w:rsid w:val="00226450"/>
  </w:style>
  <w:style w:type="character" w:styleId="Zeilennummer">
    <w:name w:val="line number"/>
    <w:basedOn w:val="Absatz-Standardschriftart"/>
    <w:uiPriority w:val="99"/>
    <w:semiHidden/>
    <w:unhideWhenUsed/>
    <w:rsid w:val="00226450"/>
  </w:style>
  <w:style w:type="character" w:styleId="Fett">
    <w:name w:val="Strong"/>
    <w:basedOn w:val="Absatz-Standardschriftart"/>
    <w:uiPriority w:val="22"/>
    <w:qFormat/>
    <w:rsid w:val="00F26D58"/>
    <w:rPr>
      <w:b/>
      <w:bCs/>
    </w:rPr>
  </w:style>
  <w:style w:type="paragraph" w:styleId="StandardWeb">
    <w:name w:val="Normal (Web)"/>
    <w:basedOn w:val="Standard"/>
    <w:uiPriority w:val="99"/>
    <w:unhideWhenUsed/>
    <w:rsid w:val="00F26D58"/>
    <w:pPr>
      <w:spacing w:before="100" w:beforeAutospacing="1" w:after="100" w:afterAutospacing="1"/>
    </w:pPr>
    <w:rPr>
      <w:rFonts w:ascii="Times New Roman" w:eastAsia="Times New Roman" w:hAnsi="Times New Roman" w:cs="Times New Roman"/>
      <w:lang w:val="de-DE" w:eastAsia="de-DE"/>
    </w:rPr>
  </w:style>
  <w:style w:type="character" w:styleId="Hervorhebung">
    <w:name w:val="Emphasis"/>
    <w:basedOn w:val="Absatz-Standardschriftart"/>
    <w:uiPriority w:val="20"/>
    <w:qFormat/>
    <w:rsid w:val="00F26D58"/>
    <w:rPr>
      <w:i/>
      <w:iCs/>
    </w:rPr>
  </w:style>
  <w:style w:type="character" w:styleId="NichtaufgelsteErwhnung">
    <w:name w:val="Unresolved Mention"/>
    <w:basedOn w:val="Absatz-Standardschriftart"/>
    <w:uiPriority w:val="99"/>
    <w:semiHidden/>
    <w:unhideWhenUsed/>
    <w:rsid w:val="00F26D58"/>
    <w:rPr>
      <w:color w:val="605E5C"/>
      <w:shd w:val="clear" w:color="auto" w:fill="E1DFDD"/>
    </w:rPr>
  </w:style>
  <w:style w:type="paragraph" w:styleId="KeinLeerraum">
    <w:name w:val="No Spacing"/>
    <w:uiPriority w:val="1"/>
    <w:qFormat/>
    <w:rsid w:val="009315EC"/>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50072">
      <w:bodyDiv w:val="1"/>
      <w:marLeft w:val="0"/>
      <w:marRight w:val="0"/>
      <w:marTop w:val="0"/>
      <w:marBottom w:val="0"/>
      <w:divBdr>
        <w:top w:val="none" w:sz="0" w:space="0" w:color="auto"/>
        <w:left w:val="none" w:sz="0" w:space="0" w:color="auto"/>
        <w:bottom w:val="none" w:sz="0" w:space="0" w:color="auto"/>
        <w:right w:val="none" w:sz="0" w:space="0" w:color="auto"/>
      </w:divBdr>
    </w:div>
    <w:div w:id="132257728">
      <w:bodyDiv w:val="1"/>
      <w:marLeft w:val="0"/>
      <w:marRight w:val="0"/>
      <w:marTop w:val="0"/>
      <w:marBottom w:val="0"/>
      <w:divBdr>
        <w:top w:val="none" w:sz="0" w:space="0" w:color="auto"/>
        <w:left w:val="none" w:sz="0" w:space="0" w:color="auto"/>
        <w:bottom w:val="none" w:sz="0" w:space="0" w:color="auto"/>
        <w:right w:val="none" w:sz="0" w:space="0" w:color="auto"/>
      </w:divBdr>
    </w:div>
    <w:div w:id="142817968">
      <w:bodyDiv w:val="1"/>
      <w:marLeft w:val="0"/>
      <w:marRight w:val="0"/>
      <w:marTop w:val="0"/>
      <w:marBottom w:val="0"/>
      <w:divBdr>
        <w:top w:val="none" w:sz="0" w:space="0" w:color="auto"/>
        <w:left w:val="none" w:sz="0" w:space="0" w:color="auto"/>
        <w:bottom w:val="none" w:sz="0" w:space="0" w:color="auto"/>
        <w:right w:val="none" w:sz="0" w:space="0" w:color="auto"/>
      </w:divBdr>
    </w:div>
    <w:div w:id="168830490">
      <w:bodyDiv w:val="1"/>
      <w:marLeft w:val="0"/>
      <w:marRight w:val="0"/>
      <w:marTop w:val="0"/>
      <w:marBottom w:val="0"/>
      <w:divBdr>
        <w:top w:val="none" w:sz="0" w:space="0" w:color="auto"/>
        <w:left w:val="none" w:sz="0" w:space="0" w:color="auto"/>
        <w:bottom w:val="none" w:sz="0" w:space="0" w:color="auto"/>
        <w:right w:val="none" w:sz="0" w:space="0" w:color="auto"/>
      </w:divBdr>
    </w:div>
    <w:div w:id="178474746">
      <w:bodyDiv w:val="1"/>
      <w:marLeft w:val="0"/>
      <w:marRight w:val="0"/>
      <w:marTop w:val="0"/>
      <w:marBottom w:val="0"/>
      <w:divBdr>
        <w:top w:val="none" w:sz="0" w:space="0" w:color="auto"/>
        <w:left w:val="none" w:sz="0" w:space="0" w:color="auto"/>
        <w:bottom w:val="none" w:sz="0" w:space="0" w:color="auto"/>
        <w:right w:val="none" w:sz="0" w:space="0" w:color="auto"/>
      </w:divBdr>
    </w:div>
    <w:div w:id="243343735">
      <w:bodyDiv w:val="1"/>
      <w:marLeft w:val="0"/>
      <w:marRight w:val="0"/>
      <w:marTop w:val="0"/>
      <w:marBottom w:val="0"/>
      <w:divBdr>
        <w:top w:val="none" w:sz="0" w:space="0" w:color="auto"/>
        <w:left w:val="none" w:sz="0" w:space="0" w:color="auto"/>
        <w:bottom w:val="none" w:sz="0" w:space="0" w:color="auto"/>
        <w:right w:val="none" w:sz="0" w:space="0" w:color="auto"/>
      </w:divBdr>
    </w:div>
    <w:div w:id="265579402">
      <w:bodyDiv w:val="1"/>
      <w:marLeft w:val="0"/>
      <w:marRight w:val="0"/>
      <w:marTop w:val="0"/>
      <w:marBottom w:val="0"/>
      <w:divBdr>
        <w:top w:val="none" w:sz="0" w:space="0" w:color="auto"/>
        <w:left w:val="none" w:sz="0" w:space="0" w:color="auto"/>
        <w:bottom w:val="none" w:sz="0" w:space="0" w:color="auto"/>
        <w:right w:val="none" w:sz="0" w:space="0" w:color="auto"/>
      </w:divBdr>
    </w:div>
    <w:div w:id="324943001">
      <w:bodyDiv w:val="1"/>
      <w:marLeft w:val="0"/>
      <w:marRight w:val="0"/>
      <w:marTop w:val="0"/>
      <w:marBottom w:val="0"/>
      <w:divBdr>
        <w:top w:val="none" w:sz="0" w:space="0" w:color="auto"/>
        <w:left w:val="none" w:sz="0" w:space="0" w:color="auto"/>
        <w:bottom w:val="none" w:sz="0" w:space="0" w:color="auto"/>
        <w:right w:val="none" w:sz="0" w:space="0" w:color="auto"/>
      </w:divBdr>
    </w:div>
    <w:div w:id="388655255">
      <w:bodyDiv w:val="1"/>
      <w:marLeft w:val="0"/>
      <w:marRight w:val="0"/>
      <w:marTop w:val="0"/>
      <w:marBottom w:val="0"/>
      <w:divBdr>
        <w:top w:val="none" w:sz="0" w:space="0" w:color="auto"/>
        <w:left w:val="none" w:sz="0" w:space="0" w:color="auto"/>
        <w:bottom w:val="none" w:sz="0" w:space="0" w:color="auto"/>
        <w:right w:val="none" w:sz="0" w:space="0" w:color="auto"/>
      </w:divBdr>
    </w:div>
    <w:div w:id="488400717">
      <w:bodyDiv w:val="1"/>
      <w:marLeft w:val="0"/>
      <w:marRight w:val="0"/>
      <w:marTop w:val="0"/>
      <w:marBottom w:val="0"/>
      <w:divBdr>
        <w:top w:val="none" w:sz="0" w:space="0" w:color="auto"/>
        <w:left w:val="none" w:sz="0" w:space="0" w:color="auto"/>
        <w:bottom w:val="none" w:sz="0" w:space="0" w:color="auto"/>
        <w:right w:val="none" w:sz="0" w:space="0" w:color="auto"/>
      </w:divBdr>
    </w:div>
    <w:div w:id="500850896">
      <w:bodyDiv w:val="1"/>
      <w:marLeft w:val="0"/>
      <w:marRight w:val="0"/>
      <w:marTop w:val="0"/>
      <w:marBottom w:val="0"/>
      <w:divBdr>
        <w:top w:val="none" w:sz="0" w:space="0" w:color="auto"/>
        <w:left w:val="none" w:sz="0" w:space="0" w:color="auto"/>
        <w:bottom w:val="none" w:sz="0" w:space="0" w:color="auto"/>
        <w:right w:val="none" w:sz="0" w:space="0" w:color="auto"/>
      </w:divBdr>
    </w:div>
    <w:div w:id="501550389">
      <w:bodyDiv w:val="1"/>
      <w:marLeft w:val="0"/>
      <w:marRight w:val="0"/>
      <w:marTop w:val="0"/>
      <w:marBottom w:val="0"/>
      <w:divBdr>
        <w:top w:val="none" w:sz="0" w:space="0" w:color="auto"/>
        <w:left w:val="none" w:sz="0" w:space="0" w:color="auto"/>
        <w:bottom w:val="none" w:sz="0" w:space="0" w:color="auto"/>
        <w:right w:val="none" w:sz="0" w:space="0" w:color="auto"/>
      </w:divBdr>
    </w:div>
    <w:div w:id="516575860">
      <w:bodyDiv w:val="1"/>
      <w:marLeft w:val="0"/>
      <w:marRight w:val="0"/>
      <w:marTop w:val="0"/>
      <w:marBottom w:val="0"/>
      <w:divBdr>
        <w:top w:val="none" w:sz="0" w:space="0" w:color="auto"/>
        <w:left w:val="none" w:sz="0" w:space="0" w:color="auto"/>
        <w:bottom w:val="none" w:sz="0" w:space="0" w:color="auto"/>
        <w:right w:val="none" w:sz="0" w:space="0" w:color="auto"/>
      </w:divBdr>
    </w:div>
    <w:div w:id="569077389">
      <w:bodyDiv w:val="1"/>
      <w:marLeft w:val="0"/>
      <w:marRight w:val="0"/>
      <w:marTop w:val="0"/>
      <w:marBottom w:val="0"/>
      <w:divBdr>
        <w:top w:val="none" w:sz="0" w:space="0" w:color="auto"/>
        <w:left w:val="none" w:sz="0" w:space="0" w:color="auto"/>
        <w:bottom w:val="none" w:sz="0" w:space="0" w:color="auto"/>
        <w:right w:val="none" w:sz="0" w:space="0" w:color="auto"/>
      </w:divBdr>
    </w:div>
    <w:div w:id="591086057">
      <w:bodyDiv w:val="1"/>
      <w:marLeft w:val="0"/>
      <w:marRight w:val="0"/>
      <w:marTop w:val="0"/>
      <w:marBottom w:val="0"/>
      <w:divBdr>
        <w:top w:val="none" w:sz="0" w:space="0" w:color="auto"/>
        <w:left w:val="none" w:sz="0" w:space="0" w:color="auto"/>
        <w:bottom w:val="none" w:sz="0" w:space="0" w:color="auto"/>
        <w:right w:val="none" w:sz="0" w:space="0" w:color="auto"/>
      </w:divBdr>
    </w:div>
    <w:div w:id="607542695">
      <w:bodyDiv w:val="1"/>
      <w:marLeft w:val="0"/>
      <w:marRight w:val="0"/>
      <w:marTop w:val="0"/>
      <w:marBottom w:val="0"/>
      <w:divBdr>
        <w:top w:val="none" w:sz="0" w:space="0" w:color="auto"/>
        <w:left w:val="none" w:sz="0" w:space="0" w:color="auto"/>
        <w:bottom w:val="none" w:sz="0" w:space="0" w:color="auto"/>
        <w:right w:val="none" w:sz="0" w:space="0" w:color="auto"/>
      </w:divBdr>
    </w:div>
    <w:div w:id="648631371">
      <w:bodyDiv w:val="1"/>
      <w:marLeft w:val="0"/>
      <w:marRight w:val="0"/>
      <w:marTop w:val="0"/>
      <w:marBottom w:val="0"/>
      <w:divBdr>
        <w:top w:val="none" w:sz="0" w:space="0" w:color="auto"/>
        <w:left w:val="none" w:sz="0" w:space="0" w:color="auto"/>
        <w:bottom w:val="none" w:sz="0" w:space="0" w:color="auto"/>
        <w:right w:val="none" w:sz="0" w:space="0" w:color="auto"/>
      </w:divBdr>
    </w:div>
    <w:div w:id="686104362">
      <w:bodyDiv w:val="1"/>
      <w:marLeft w:val="0"/>
      <w:marRight w:val="0"/>
      <w:marTop w:val="0"/>
      <w:marBottom w:val="0"/>
      <w:divBdr>
        <w:top w:val="none" w:sz="0" w:space="0" w:color="auto"/>
        <w:left w:val="none" w:sz="0" w:space="0" w:color="auto"/>
        <w:bottom w:val="none" w:sz="0" w:space="0" w:color="auto"/>
        <w:right w:val="none" w:sz="0" w:space="0" w:color="auto"/>
      </w:divBdr>
    </w:div>
    <w:div w:id="738555026">
      <w:bodyDiv w:val="1"/>
      <w:marLeft w:val="0"/>
      <w:marRight w:val="0"/>
      <w:marTop w:val="0"/>
      <w:marBottom w:val="0"/>
      <w:divBdr>
        <w:top w:val="none" w:sz="0" w:space="0" w:color="auto"/>
        <w:left w:val="none" w:sz="0" w:space="0" w:color="auto"/>
        <w:bottom w:val="none" w:sz="0" w:space="0" w:color="auto"/>
        <w:right w:val="none" w:sz="0" w:space="0" w:color="auto"/>
      </w:divBdr>
    </w:div>
    <w:div w:id="817259895">
      <w:bodyDiv w:val="1"/>
      <w:marLeft w:val="0"/>
      <w:marRight w:val="0"/>
      <w:marTop w:val="0"/>
      <w:marBottom w:val="0"/>
      <w:divBdr>
        <w:top w:val="none" w:sz="0" w:space="0" w:color="auto"/>
        <w:left w:val="none" w:sz="0" w:space="0" w:color="auto"/>
        <w:bottom w:val="none" w:sz="0" w:space="0" w:color="auto"/>
        <w:right w:val="none" w:sz="0" w:space="0" w:color="auto"/>
      </w:divBdr>
    </w:div>
    <w:div w:id="825246230">
      <w:bodyDiv w:val="1"/>
      <w:marLeft w:val="0"/>
      <w:marRight w:val="0"/>
      <w:marTop w:val="0"/>
      <w:marBottom w:val="0"/>
      <w:divBdr>
        <w:top w:val="none" w:sz="0" w:space="0" w:color="auto"/>
        <w:left w:val="none" w:sz="0" w:space="0" w:color="auto"/>
        <w:bottom w:val="none" w:sz="0" w:space="0" w:color="auto"/>
        <w:right w:val="none" w:sz="0" w:space="0" w:color="auto"/>
      </w:divBdr>
    </w:div>
    <w:div w:id="845365196">
      <w:bodyDiv w:val="1"/>
      <w:marLeft w:val="0"/>
      <w:marRight w:val="0"/>
      <w:marTop w:val="0"/>
      <w:marBottom w:val="0"/>
      <w:divBdr>
        <w:top w:val="none" w:sz="0" w:space="0" w:color="auto"/>
        <w:left w:val="none" w:sz="0" w:space="0" w:color="auto"/>
        <w:bottom w:val="none" w:sz="0" w:space="0" w:color="auto"/>
        <w:right w:val="none" w:sz="0" w:space="0" w:color="auto"/>
      </w:divBdr>
    </w:div>
    <w:div w:id="917979395">
      <w:bodyDiv w:val="1"/>
      <w:marLeft w:val="0"/>
      <w:marRight w:val="0"/>
      <w:marTop w:val="0"/>
      <w:marBottom w:val="0"/>
      <w:divBdr>
        <w:top w:val="none" w:sz="0" w:space="0" w:color="auto"/>
        <w:left w:val="none" w:sz="0" w:space="0" w:color="auto"/>
        <w:bottom w:val="none" w:sz="0" w:space="0" w:color="auto"/>
        <w:right w:val="none" w:sz="0" w:space="0" w:color="auto"/>
      </w:divBdr>
    </w:div>
    <w:div w:id="1089808332">
      <w:bodyDiv w:val="1"/>
      <w:marLeft w:val="0"/>
      <w:marRight w:val="0"/>
      <w:marTop w:val="0"/>
      <w:marBottom w:val="0"/>
      <w:divBdr>
        <w:top w:val="none" w:sz="0" w:space="0" w:color="auto"/>
        <w:left w:val="none" w:sz="0" w:space="0" w:color="auto"/>
        <w:bottom w:val="none" w:sz="0" w:space="0" w:color="auto"/>
        <w:right w:val="none" w:sz="0" w:space="0" w:color="auto"/>
      </w:divBdr>
    </w:div>
    <w:div w:id="1134176370">
      <w:bodyDiv w:val="1"/>
      <w:marLeft w:val="0"/>
      <w:marRight w:val="0"/>
      <w:marTop w:val="0"/>
      <w:marBottom w:val="0"/>
      <w:divBdr>
        <w:top w:val="none" w:sz="0" w:space="0" w:color="auto"/>
        <w:left w:val="none" w:sz="0" w:space="0" w:color="auto"/>
        <w:bottom w:val="none" w:sz="0" w:space="0" w:color="auto"/>
        <w:right w:val="none" w:sz="0" w:space="0" w:color="auto"/>
      </w:divBdr>
    </w:div>
    <w:div w:id="1183787164">
      <w:bodyDiv w:val="1"/>
      <w:marLeft w:val="0"/>
      <w:marRight w:val="0"/>
      <w:marTop w:val="0"/>
      <w:marBottom w:val="0"/>
      <w:divBdr>
        <w:top w:val="none" w:sz="0" w:space="0" w:color="auto"/>
        <w:left w:val="none" w:sz="0" w:space="0" w:color="auto"/>
        <w:bottom w:val="none" w:sz="0" w:space="0" w:color="auto"/>
        <w:right w:val="none" w:sz="0" w:space="0" w:color="auto"/>
      </w:divBdr>
    </w:div>
    <w:div w:id="1221358544">
      <w:bodyDiv w:val="1"/>
      <w:marLeft w:val="0"/>
      <w:marRight w:val="0"/>
      <w:marTop w:val="0"/>
      <w:marBottom w:val="0"/>
      <w:divBdr>
        <w:top w:val="none" w:sz="0" w:space="0" w:color="auto"/>
        <w:left w:val="none" w:sz="0" w:space="0" w:color="auto"/>
        <w:bottom w:val="none" w:sz="0" w:space="0" w:color="auto"/>
        <w:right w:val="none" w:sz="0" w:space="0" w:color="auto"/>
      </w:divBdr>
    </w:div>
    <w:div w:id="1269701188">
      <w:bodyDiv w:val="1"/>
      <w:marLeft w:val="0"/>
      <w:marRight w:val="0"/>
      <w:marTop w:val="0"/>
      <w:marBottom w:val="0"/>
      <w:divBdr>
        <w:top w:val="none" w:sz="0" w:space="0" w:color="auto"/>
        <w:left w:val="none" w:sz="0" w:space="0" w:color="auto"/>
        <w:bottom w:val="none" w:sz="0" w:space="0" w:color="auto"/>
        <w:right w:val="none" w:sz="0" w:space="0" w:color="auto"/>
      </w:divBdr>
    </w:div>
    <w:div w:id="1294482380">
      <w:bodyDiv w:val="1"/>
      <w:marLeft w:val="0"/>
      <w:marRight w:val="0"/>
      <w:marTop w:val="0"/>
      <w:marBottom w:val="0"/>
      <w:divBdr>
        <w:top w:val="none" w:sz="0" w:space="0" w:color="auto"/>
        <w:left w:val="none" w:sz="0" w:space="0" w:color="auto"/>
        <w:bottom w:val="none" w:sz="0" w:space="0" w:color="auto"/>
        <w:right w:val="none" w:sz="0" w:space="0" w:color="auto"/>
      </w:divBdr>
    </w:div>
    <w:div w:id="1311984352">
      <w:bodyDiv w:val="1"/>
      <w:marLeft w:val="0"/>
      <w:marRight w:val="0"/>
      <w:marTop w:val="0"/>
      <w:marBottom w:val="0"/>
      <w:divBdr>
        <w:top w:val="none" w:sz="0" w:space="0" w:color="auto"/>
        <w:left w:val="none" w:sz="0" w:space="0" w:color="auto"/>
        <w:bottom w:val="none" w:sz="0" w:space="0" w:color="auto"/>
        <w:right w:val="none" w:sz="0" w:space="0" w:color="auto"/>
      </w:divBdr>
    </w:div>
    <w:div w:id="1407386342">
      <w:bodyDiv w:val="1"/>
      <w:marLeft w:val="0"/>
      <w:marRight w:val="0"/>
      <w:marTop w:val="0"/>
      <w:marBottom w:val="0"/>
      <w:divBdr>
        <w:top w:val="none" w:sz="0" w:space="0" w:color="auto"/>
        <w:left w:val="none" w:sz="0" w:space="0" w:color="auto"/>
        <w:bottom w:val="none" w:sz="0" w:space="0" w:color="auto"/>
        <w:right w:val="none" w:sz="0" w:space="0" w:color="auto"/>
      </w:divBdr>
    </w:div>
    <w:div w:id="1447042547">
      <w:bodyDiv w:val="1"/>
      <w:marLeft w:val="0"/>
      <w:marRight w:val="0"/>
      <w:marTop w:val="0"/>
      <w:marBottom w:val="0"/>
      <w:divBdr>
        <w:top w:val="none" w:sz="0" w:space="0" w:color="auto"/>
        <w:left w:val="none" w:sz="0" w:space="0" w:color="auto"/>
        <w:bottom w:val="none" w:sz="0" w:space="0" w:color="auto"/>
        <w:right w:val="none" w:sz="0" w:space="0" w:color="auto"/>
      </w:divBdr>
    </w:div>
    <w:div w:id="1449349969">
      <w:bodyDiv w:val="1"/>
      <w:marLeft w:val="0"/>
      <w:marRight w:val="0"/>
      <w:marTop w:val="0"/>
      <w:marBottom w:val="0"/>
      <w:divBdr>
        <w:top w:val="none" w:sz="0" w:space="0" w:color="auto"/>
        <w:left w:val="none" w:sz="0" w:space="0" w:color="auto"/>
        <w:bottom w:val="none" w:sz="0" w:space="0" w:color="auto"/>
        <w:right w:val="none" w:sz="0" w:space="0" w:color="auto"/>
      </w:divBdr>
    </w:div>
    <w:div w:id="1485000684">
      <w:bodyDiv w:val="1"/>
      <w:marLeft w:val="0"/>
      <w:marRight w:val="0"/>
      <w:marTop w:val="0"/>
      <w:marBottom w:val="0"/>
      <w:divBdr>
        <w:top w:val="none" w:sz="0" w:space="0" w:color="auto"/>
        <w:left w:val="none" w:sz="0" w:space="0" w:color="auto"/>
        <w:bottom w:val="none" w:sz="0" w:space="0" w:color="auto"/>
        <w:right w:val="none" w:sz="0" w:space="0" w:color="auto"/>
      </w:divBdr>
    </w:div>
    <w:div w:id="1486168976">
      <w:bodyDiv w:val="1"/>
      <w:marLeft w:val="0"/>
      <w:marRight w:val="0"/>
      <w:marTop w:val="0"/>
      <w:marBottom w:val="0"/>
      <w:divBdr>
        <w:top w:val="none" w:sz="0" w:space="0" w:color="auto"/>
        <w:left w:val="none" w:sz="0" w:space="0" w:color="auto"/>
        <w:bottom w:val="none" w:sz="0" w:space="0" w:color="auto"/>
        <w:right w:val="none" w:sz="0" w:space="0" w:color="auto"/>
      </w:divBdr>
    </w:div>
    <w:div w:id="1487934651">
      <w:bodyDiv w:val="1"/>
      <w:marLeft w:val="0"/>
      <w:marRight w:val="0"/>
      <w:marTop w:val="0"/>
      <w:marBottom w:val="0"/>
      <w:divBdr>
        <w:top w:val="none" w:sz="0" w:space="0" w:color="auto"/>
        <w:left w:val="none" w:sz="0" w:space="0" w:color="auto"/>
        <w:bottom w:val="none" w:sz="0" w:space="0" w:color="auto"/>
        <w:right w:val="none" w:sz="0" w:space="0" w:color="auto"/>
      </w:divBdr>
    </w:div>
    <w:div w:id="1617564639">
      <w:bodyDiv w:val="1"/>
      <w:marLeft w:val="0"/>
      <w:marRight w:val="0"/>
      <w:marTop w:val="0"/>
      <w:marBottom w:val="0"/>
      <w:divBdr>
        <w:top w:val="none" w:sz="0" w:space="0" w:color="auto"/>
        <w:left w:val="none" w:sz="0" w:space="0" w:color="auto"/>
        <w:bottom w:val="none" w:sz="0" w:space="0" w:color="auto"/>
        <w:right w:val="none" w:sz="0" w:space="0" w:color="auto"/>
      </w:divBdr>
    </w:div>
    <w:div w:id="1640987704">
      <w:bodyDiv w:val="1"/>
      <w:marLeft w:val="0"/>
      <w:marRight w:val="0"/>
      <w:marTop w:val="0"/>
      <w:marBottom w:val="0"/>
      <w:divBdr>
        <w:top w:val="none" w:sz="0" w:space="0" w:color="auto"/>
        <w:left w:val="none" w:sz="0" w:space="0" w:color="auto"/>
        <w:bottom w:val="none" w:sz="0" w:space="0" w:color="auto"/>
        <w:right w:val="none" w:sz="0" w:space="0" w:color="auto"/>
      </w:divBdr>
    </w:div>
    <w:div w:id="1644433385">
      <w:bodyDiv w:val="1"/>
      <w:marLeft w:val="0"/>
      <w:marRight w:val="0"/>
      <w:marTop w:val="0"/>
      <w:marBottom w:val="0"/>
      <w:divBdr>
        <w:top w:val="none" w:sz="0" w:space="0" w:color="auto"/>
        <w:left w:val="none" w:sz="0" w:space="0" w:color="auto"/>
        <w:bottom w:val="none" w:sz="0" w:space="0" w:color="auto"/>
        <w:right w:val="none" w:sz="0" w:space="0" w:color="auto"/>
      </w:divBdr>
    </w:div>
    <w:div w:id="1674455981">
      <w:bodyDiv w:val="1"/>
      <w:marLeft w:val="0"/>
      <w:marRight w:val="0"/>
      <w:marTop w:val="0"/>
      <w:marBottom w:val="0"/>
      <w:divBdr>
        <w:top w:val="none" w:sz="0" w:space="0" w:color="auto"/>
        <w:left w:val="none" w:sz="0" w:space="0" w:color="auto"/>
        <w:bottom w:val="none" w:sz="0" w:space="0" w:color="auto"/>
        <w:right w:val="none" w:sz="0" w:space="0" w:color="auto"/>
      </w:divBdr>
    </w:div>
    <w:div w:id="1727411753">
      <w:bodyDiv w:val="1"/>
      <w:marLeft w:val="0"/>
      <w:marRight w:val="0"/>
      <w:marTop w:val="0"/>
      <w:marBottom w:val="0"/>
      <w:divBdr>
        <w:top w:val="none" w:sz="0" w:space="0" w:color="auto"/>
        <w:left w:val="none" w:sz="0" w:space="0" w:color="auto"/>
        <w:bottom w:val="none" w:sz="0" w:space="0" w:color="auto"/>
        <w:right w:val="none" w:sz="0" w:space="0" w:color="auto"/>
      </w:divBdr>
    </w:div>
    <w:div w:id="1758095188">
      <w:bodyDiv w:val="1"/>
      <w:marLeft w:val="0"/>
      <w:marRight w:val="0"/>
      <w:marTop w:val="0"/>
      <w:marBottom w:val="0"/>
      <w:divBdr>
        <w:top w:val="none" w:sz="0" w:space="0" w:color="auto"/>
        <w:left w:val="none" w:sz="0" w:space="0" w:color="auto"/>
        <w:bottom w:val="none" w:sz="0" w:space="0" w:color="auto"/>
        <w:right w:val="none" w:sz="0" w:space="0" w:color="auto"/>
      </w:divBdr>
    </w:div>
    <w:div w:id="1776484860">
      <w:bodyDiv w:val="1"/>
      <w:marLeft w:val="0"/>
      <w:marRight w:val="0"/>
      <w:marTop w:val="0"/>
      <w:marBottom w:val="0"/>
      <w:divBdr>
        <w:top w:val="none" w:sz="0" w:space="0" w:color="auto"/>
        <w:left w:val="none" w:sz="0" w:space="0" w:color="auto"/>
        <w:bottom w:val="none" w:sz="0" w:space="0" w:color="auto"/>
        <w:right w:val="none" w:sz="0" w:space="0" w:color="auto"/>
      </w:divBdr>
    </w:div>
    <w:div w:id="1834832870">
      <w:bodyDiv w:val="1"/>
      <w:marLeft w:val="0"/>
      <w:marRight w:val="0"/>
      <w:marTop w:val="0"/>
      <w:marBottom w:val="0"/>
      <w:divBdr>
        <w:top w:val="none" w:sz="0" w:space="0" w:color="auto"/>
        <w:left w:val="none" w:sz="0" w:space="0" w:color="auto"/>
        <w:bottom w:val="none" w:sz="0" w:space="0" w:color="auto"/>
        <w:right w:val="none" w:sz="0" w:space="0" w:color="auto"/>
      </w:divBdr>
    </w:div>
    <w:div w:id="1953705058">
      <w:bodyDiv w:val="1"/>
      <w:marLeft w:val="0"/>
      <w:marRight w:val="0"/>
      <w:marTop w:val="0"/>
      <w:marBottom w:val="0"/>
      <w:divBdr>
        <w:top w:val="none" w:sz="0" w:space="0" w:color="auto"/>
        <w:left w:val="none" w:sz="0" w:space="0" w:color="auto"/>
        <w:bottom w:val="none" w:sz="0" w:space="0" w:color="auto"/>
        <w:right w:val="none" w:sz="0" w:space="0" w:color="auto"/>
      </w:divBdr>
    </w:div>
    <w:div w:id="1986153758">
      <w:bodyDiv w:val="1"/>
      <w:marLeft w:val="0"/>
      <w:marRight w:val="0"/>
      <w:marTop w:val="0"/>
      <w:marBottom w:val="0"/>
      <w:divBdr>
        <w:top w:val="none" w:sz="0" w:space="0" w:color="auto"/>
        <w:left w:val="none" w:sz="0" w:space="0" w:color="auto"/>
        <w:bottom w:val="none" w:sz="0" w:space="0" w:color="auto"/>
        <w:right w:val="none" w:sz="0" w:space="0" w:color="auto"/>
      </w:divBdr>
    </w:div>
    <w:div w:id="2069183868">
      <w:bodyDiv w:val="1"/>
      <w:marLeft w:val="0"/>
      <w:marRight w:val="0"/>
      <w:marTop w:val="0"/>
      <w:marBottom w:val="0"/>
      <w:divBdr>
        <w:top w:val="none" w:sz="0" w:space="0" w:color="auto"/>
        <w:left w:val="none" w:sz="0" w:space="0" w:color="auto"/>
        <w:bottom w:val="none" w:sz="0" w:space="0" w:color="auto"/>
        <w:right w:val="none" w:sz="0" w:space="0" w:color="auto"/>
      </w:divBdr>
    </w:div>
    <w:div w:id="2071951887">
      <w:bodyDiv w:val="1"/>
      <w:marLeft w:val="0"/>
      <w:marRight w:val="0"/>
      <w:marTop w:val="0"/>
      <w:marBottom w:val="0"/>
      <w:divBdr>
        <w:top w:val="none" w:sz="0" w:space="0" w:color="auto"/>
        <w:left w:val="none" w:sz="0" w:space="0" w:color="auto"/>
        <w:bottom w:val="none" w:sz="0" w:space="0" w:color="auto"/>
        <w:right w:val="none" w:sz="0" w:space="0" w:color="auto"/>
      </w:divBdr>
    </w:div>
    <w:div w:id="210884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image" Target="media/image8.tif"/><Relationship Id="rId10" Type="http://schemas.openxmlformats.org/officeDocument/2006/relationships/image" Target="media/image3.ti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C34F1-056C-634D-BAAE-C24159400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955</Words>
  <Characters>6022</Characters>
  <Application>Microsoft Office Word</Application>
  <DocSecurity>0</DocSecurity>
  <Lines>50</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6964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Watzl, Carsten</cp:lastModifiedBy>
  <cp:revision>4</cp:revision>
  <cp:lastPrinted>2024-03-11T15:15:00Z</cp:lastPrinted>
  <dcterms:created xsi:type="dcterms:W3CDTF">2024-04-23T14:34:00Z</dcterms:created>
  <dcterms:modified xsi:type="dcterms:W3CDTF">2024-04-25T07:58:00Z</dcterms:modified>
  <cp:category/>
</cp:coreProperties>
</file>