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2254"/>
        <w:gridCol w:w="2434"/>
        <w:gridCol w:w="2076"/>
      </w:tblGrid>
      <w:tr w:rsidR="001D6D48" w:rsidRPr="008F118B" w:rsidTr="00B03158">
        <w:tc>
          <w:tcPr>
            <w:tcW w:w="10012" w:type="dxa"/>
            <w:gridSpan w:val="4"/>
            <w:tcBorders>
              <w:bottom w:val="single" w:sz="4" w:space="0" w:color="auto"/>
            </w:tcBorders>
            <w:vAlign w:val="center"/>
          </w:tcPr>
          <w:p w:rsidR="001D6D48" w:rsidRPr="008F118B" w:rsidRDefault="001D6D48" w:rsidP="0056430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</w:t>
            </w:r>
            <w:r w:rsidR="009547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861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031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Matched comparison of postoperative complications between </w:t>
            </w:r>
            <w:r w:rsidR="0056430A" w:rsidRPr="00B031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obesity class I and II</w:t>
            </w:r>
            <w:r w:rsidR="00C056D5" w:rsidRPr="00B03158">
              <w:rPr>
                <w:b/>
                <w:bCs/>
              </w:rPr>
              <w:t xml:space="preserve"> </w:t>
            </w:r>
            <w:r w:rsidR="00C056D5" w:rsidRPr="00B031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according to the </w:t>
            </w:r>
            <w:proofErr w:type="spellStart"/>
            <w:r w:rsidR="00C056D5" w:rsidRPr="00B031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Clavien-Dindo</w:t>
            </w:r>
            <w:proofErr w:type="spellEnd"/>
            <w:r w:rsidR="00C056D5" w:rsidRPr="00B031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classification</w:t>
            </w:r>
          </w:p>
        </w:tc>
      </w:tr>
      <w:tr w:rsidR="001D6D48" w:rsidRPr="008F118B" w:rsidTr="00B03158">
        <w:tc>
          <w:tcPr>
            <w:tcW w:w="3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48" w:rsidRPr="008F118B" w:rsidRDefault="001D6D48" w:rsidP="001569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48" w:rsidRPr="008F118B" w:rsidRDefault="0056430A" w:rsidP="001569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</w:t>
            </w:r>
          </w:p>
          <w:p w:rsidR="001D6D48" w:rsidRPr="008F118B" w:rsidRDefault="001D6D48" w:rsidP="00D57F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(n =</w:t>
            </w:r>
            <w:r w:rsidR="00D57F83"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84</w:t>
            </w:r>
            <w:r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48" w:rsidRPr="008F118B" w:rsidRDefault="0056430A" w:rsidP="0015693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II</w:t>
            </w:r>
          </w:p>
          <w:p w:rsidR="001D6D48" w:rsidRPr="008F118B" w:rsidRDefault="001D6D48" w:rsidP="00D57F8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(n =</w:t>
            </w:r>
            <w:r w:rsidR="00D57F83"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84</w:t>
            </w:r>
            <w:r w:rsidRPr="008F118B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6D48" w:rsidRPr="008F118B" w:rsidRDefault="00AC5BFE" w:rsidP="001569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Clavien-Dindo</w:t>
            </w:r>
            <w:proofErr w:type="spellEnd"/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grade</w:t>
            </w:r>
          </w:p>
        </w:tc>
      </w:tr>
      <w:tr w:rsidR="001D6D48" w:rsidRPr="008F118B" w:rsidTr="00B03158">
        <w:tc>
          <w:tcPr>
            <w:tcW w:w="10012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1D6D48" w:rsidRPr="008F118B" w:rsidRDefault="001D6D48" w:rsidP="0015693E">
            <w:pPr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In-hospital</w:t>
            </w:r>
            <w:r w:rsidRPr="008F11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8F11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n</w:t>
            </w:r>
          </w:p>
        </w:tc>
      </w:tr>
      <w:tr w:rsidR="001D6D48" w:rsidRPr="008F118B" w:rsidTr="00B03158">
        <w:tc>
          <w:tcPr>
            <w:tcW w:w="3248" w:type="dxa"/>
            <w:vAlign w:val="center"/>
          </w:tcPr>
          <w:p w:rsidR="001D6D48" w:rsidRPr="008F118B" w:rsidRDefault="001D6D48" w:rsidP="0015693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Vomiting</w:t>
            </w:r>
          </w:p>
        </w:tc>
        <w:tc>
          <w:tcPr>
            <w:tcW w:w="2254" w:type="dxa"/>
          </w:tcPr>
          <w:p w:rsidR="001D6D48" w:rsidRPr="008F118B" w:rsidRDefault="004315C0" w:rsidP="001569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434" w:type="dxa"/>
          </w:tcPr>
          <w:p w:rsidR="001D6D48" w:rsidRPr="008F118B" w:rsidRDefault="004315C0" w:rsidP="001569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:rsidR="001D6D48" w:rsidRPr="008F118B" w:rsidRDefault="001D6D48" w:rsidP="0015693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Bleeding </w:t>
            </w:r>
          </w:p>
        </w:tc>
        <w:tc>
          <w:tcPr>
            <w:tcW w:w="2254" w:type="dxa"/>
            <w:vAlign w:val="center"/>
          </w:tcPr>
          <w:p w:rsidR="00E42C09" w:rsidRPr="004315C0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15C0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434" w:type="dxa"/>
          </w:tcPr>
          <w:p w:rsidR="00E42C09" w:rsidRPr="004315C0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315C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Pulmonary embolism</w:t>
            </w:r>
          </w:p>
        </w:tc>
        <w:tc>
          <w:tcPr>
            <w:tcW w:w="225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IVa</w:t>
            </w:r>
            <w:proofErr w:type="spellEnd"/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Abscess due to leak</w:t>
            </w:r>
          </w:p>
        </w:tc>
        <w:tc>
          <w:tcPr>
            <w:tcW w:w="225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IVb</w:t>
            </w:r>
            <w:proofErr w:type="spellEnd"/>
          </w:p>
        </w:tc>
      </w:tr>
      <w:tr w:rsidR="00E42C09" w:rsidRPr="008F118B" w:rsidTr="00B03158">
        <w:tc>
          <w:tcPr>
            <w:tcW w:w="10012" w:type="dxa"/>
            <w:gridSpan w:val="4"/>
            <w:shd w:val="clear" w:color="auto" w:fill="E7E6E6" w:themeFill="background2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30-day</w:t>
            </w:r>
            <w:r w:rsidRPr="008F11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Pr="008F11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n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Vomiting</w:t>
            </w:r>
          </w:p>
        </w:tc>
        <w:tc>
          <w:tcPr>
            <w:tcW w:w="225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Bleeding </w:t>
            </w:r>
          </w:p>
        </w:tc>
        <w:tc>
          <w:tcPr>
            <w:tcW w:w="2254" w:type="dxa"/>
            <w:vAlign w:val="center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Other infection</w:t>
            </w:r>
          </w:p>
        </w:tc>
        <w:tc>
          <w:tcPr>
            <w:tcW w:w="225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43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E42C09" w:rsidRPr="008F118B" w:rsidTr="00B03158">
        <w:tc>
          <w:tcPr>
            <w:tcW w:w="10012" w:type="dxa"/>
            <w:gridSpan w:val="4"/>
            <w:shd w:val="clear" w:color="auto" w:fill="E7E6E6" w:themeFill="background2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Late,</w:t>
            </w:r>
            <w:r w:rsidRPr="008F118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n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Bleeding </w:t>
            </w:r>
          </w:p>
        </w:tc>
        <w:tc>
          <w:tcPr>
            <w:tcW w:w="225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Intestinal obstruction</w:t>
            </w:r>
          </w:p>
        </w:tc>
        <w:tc>
          <w:tcPr>
            <w:tcW w:w="2254" w:type="dxa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III</w:t>
            </w:r>
            <w:r w:rsidR="00CB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F118B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Gastroesophageal reflux</w:t>
            </w:r>
          </w:p>
        </w:tc>
        <w:tc>
          <w:tcPr>
            <w:tcW w:w="2254" w:type="dxa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:rsidR="00E42C09" w:rsidRPr="008F118B" w:rsidRDefault="00E42C09" w:rsidP="00E42C09">
            <w:pPr>
              <w:jc w:val="center"/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III</w:t>
            </w:r>
            <w:r w:rsidR="00CB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F118B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</w:tr>
      <w:tr w:rsidR="00E42C09" w:rsidRPr="008F118B" w:rsidTr="00B03158">
        <w:trPr>
          <w:trHeight w:val="115"/>
        </w:trPr>
        <w:tc>
          <w:tcPr>
            <w:tcW w:w="3248" w:type="dxa"/>
            <w:shd w:val="clear" w:color="auto" w:fill="E7E6E6" w:themeFill="background2"/>
            <w:vAlign w:val="center"/>
          </w:tcPr>
          <w:p w:rsidR="00E42C09" w:rsidRPr="008F118B" w:rsidRDefault="00E42C09" w:rsidP="00E42C0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Clavien-Dindo</w:t>
            </w:r>
            <w:proofErr w:type="spellEnd"/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classification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</w:t>
            </w:r>
          </w:p>
        </w:tc>
        <w:tc>
          <w:tcPr>
            <w:tcW w:w="2434" w:type="dxa"/>
            <w:shd w:val="clear" w:color="auto" w:fill="E7E6E6" w:themeFill="background2"/>
            <w:vAlign w:val="center"/>
          </w:tcPr>
          <w:p w:rsidR="00E42C09" w:rsidRPr="008F118B" w:rsidRDefault="00E42C09" w:rsidP="00045F3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Class II</w:t>
            </w:r>
          </w:p>
        </w:tc>
        <w:tc>
          <w:tcPr>
            <w:tcW w:w="2076" w:type="dxa"/>
            <w:shd w:val="clear" w:color="auto" w:fill="E7E6E6" w:themeFill="background2"/>
            <w:vAlign w:val="center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i/>
                <w:iCs/>
              </w:rPr>
              <w:t>P</w:t>
            </w:r>
            <w:r w:rsidRPr="008F118B">
              <w:rPr>
                <w:rFonts w:asciiTheme="majorBidi" w:hAnsiTheme="majorBidi" w:cstheme="majorBidi"/>
              </w:rPr>
              <w:t>-value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Grade I</w:t>
            </w:r>
          </w:p>
        </w:tc>
        <w:tc>
          <w:tcPr>
            <w:tcW w:w="2254" w:type="dxa"/>
            <w:vAlign w:val="center"/>
          </w:tcPr>
          <w:p w:rsidR="00E42C09" w:rsidRPr="008F118B" w:rsidRDefault="004315C0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434" w:type="dxa"/>
            <w:vAlign w:val="center"/>
          </w:tcPr>
          <w:p w:rsidR="00E42C09" w:rsidRPr="008F118B" w:rsidRDefault="004315C0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076" w:type="dxa"/>
            <w:vAlign w:val="center"/>
          </w:tcPr>
          <w:p w:rsidR="00E42C09" w:rsidRPr="008F118B" w:rsidRDefault="00062C8D" w:rsidP="00062C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0.720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Grade II</w:t>
            </w:r>
          </w:p>
        </w:tc>
        <w:tc>
          <w:tcPr>
            <w:tcW w:w="2254" w:type="dxa"/>
            <w:vAlign w:val="center"/>
          </w:tcPr>
          <w:p w:rsidR="00E42C09" w:rsidRPr="008F118B" w:rsidRDefault="00885567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434" w:type="dxa"/>
            <w:vAlign w:val="center"/>
          </w:tcPr>
          <w:p w:rsidR="00E42C09" w:rsidRPr="008F118B" w:rsidRDefault="00E6297B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:rsidR="00E42C09" w:rsidRPr="008F118B" w:rsidRDefault="00062C8D" w:rsidP="00062C8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0.367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Grade </w:t>
            </w: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IIIa</w:t>
            </w:r>
            <w:proofErr w:type="spellEnd"/>
          </w:p>
        </w:tc>
        <w:tc>
          <w:tcPr>
            <w:tcW w:w="2254" w:type="dxa"/>
            <w:vAlign w:val="center"/>
          </w:tcPr>
          <w:p w:rsidR="00E42C09" w:rsidRPr="008F118B" w:rsidRDefault="00E42C09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vAlign w:val="center"/>
          </w:tcPr>
          <w:p w:rsidR="00E42C09" w:rsidRPr="008F118B" w:rsidRDefault="004315C0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:rsidR="00E42C09" w:rsidRPr="008F118B" w:rsidRDefault="00062C8D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Grade </w:t>
            </w: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IIIb</w:t>
            </w:r>
            <w:proofErr w:type="spellEnd"/>
          </w:p>
        </w:tc>
        <w:tc>
          <w:tcPr>
            <w:tcW w:w="2254" w:type="dxa"/>
            <w:vAlign w:val="center"/>
          </w:tcPr>
          <w:p w:rsidR="00E42C09" w:rsidRPr="008F118B" w:rsidRDefault="004315C0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vAlign w:val="center"/>
          </w:tcPr>
          <w:p w:rsidR="00E42C09" w:rsidRPr="008F118B" w:rsidRDefault="004315C0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076" w:type="dxa"/>
            <w:vAlign w:val="center"/>
          </w:tcPr>
          <w:p w:rsidR="00E42C09" w:rsidRPr="008F118B" w:rsidRDefault="00062C8D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&gt;0.999</w:t>
            </w:r>
          </w:p>
        </w:tc>
      </w:tr>
      <w:tr w:rsidR="00E42C09" w:rsidRPr="008F118B" w:rsidTr="00B03158">
        <w:tc>
          <w:tcPr>
            <w:tcW w:w="3248" w:type="dxa"/>
            <w:vAlign w:val="center"/>
          </w:tcPr>
          <w:p w:rsidR="00E42C09" w:rsidRPr="008F118B" w:rsidRDefault="00E42C09" w:rsidP="00E42C09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Grade </w:t>
            </w: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IVa</w:t>
            </w:r>
            <w:proofErr w:type="spellEnd"/>
          </w:p>
        </w:tc>
        <w:tc>
          <w:tcPr>
            <w:tcW w:w="2254" w:type="dxa"/>
            <w:vAlign w:val="center"/>
          </w:tcPr>
          <w:p w:rsidR="00E42C09" w:rsidRPr="008F118B" w:rsidRDefault="00045F36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vAlign w:val="center"/>
          </w:tcPr>
          <w:p w:rsidR="00E42C09" w:rsidRPr="008F118B" w:rsidRDefault="00045F36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:rsidR="00E42C09" w:rsidRPr="008F118B" w:rsidRDefault="00062C8D" w:rsidP="00E42C0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45F36" w:rsidRPr="008F118B" w:rsidTr="00B03158">
        <w:tc>
          <w:tcPr>
            <w:tcW w:w="3248" w:type="dxa"/>
            <w:vAlign w:val="center"/>
          </w:tcPr>
          <w:p w:rsidR="00045F36" w:rsidRPr="008F118B" w:rsidRDefault="00045F36" w:rsidP="00045F3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8F118B">
              <w:rPr>
                <w:rFonts w:asciiTheme="majorBidi" w:hAnsiTheme="majorBidi" w:cstheme="majorBidi"/>
                <w:sz w:val="24"/>
                <w:szCs w:val="24"/>
              </w:rPr>
              <w:t xml:space="preserve">Grade </w:t>
            </w:r>
            <w:proofErr w:type="spellStart"/>
            <w:r w:rsidRPr="008F118B">
              <w:rPr>
                <w:rFonts w:asciiTheme="majorBidi" w:hAnsiTheme="majorBidi" w:cstheme="majorBidi"/>
                <w:sz w:val="24"/>
                <w:szCs w:val="24"/>
              </w:rPr>
              <w:t>IVb</w:t>
            </w:r>
            <w:proofErr w:type="spellEnd"/>
          </w:p>
        </w:tc>
        <w:tc>
          <w:tcPr>
            <w:tcW w:w="2254" w:type="dxa"/>
            <w:vAlign w:val="center"/>
          </w:tcPr>
          <w:p w:rsidR="00045F36" w:rsidRPr="008F118B" w:rsidRDefault="00045F36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vAlign w:val="center"/>
          </w:tcPr>
          <w:p w:rsidR="00045F36" w:rsidRPr="008F118B" w:rsidRDefault="00045F36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  <w:vAlign w:val="center"/>
          </w:tcPr>
          <w:p w:rsidR="00045F36" w:rsidRPr="008F118B" w:rsidRDefault="00062C8D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045F36" w:rsidRPr="008F118B" w:rsidTr="00B03158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p w:rsidR="00045F36" w:rsidRPr="008F118B" w:rsidRDefault="00045F36" w:rsidP="00045F3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r w:rsidRPr="008F118B">
              <w:rPr>
                <w:rFonts w:asciiTheme="majorBidi" w:hAnsiTheme="majorBidi" w:cstheme="majorBidi"/>
                <w:sz w:val="24"/>
                <w:szCs w:val="24"/>
              </w:rPr>
              <w:t>Grade V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:rsidR="00045F36" w:rsidRPr="008F118B" w:rsidRDefault="00045F36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045F36" w:rsidRPr="008F118B" w:rsidRDefault="00045F36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045F36" w:rsidRPr="008F118B" w:rsidRDefault="00062C8D" w:rsidP="00045F3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bookmarkEnd w:id="0"/>
      <w:tr w:rsidR="00AD6CA8" w:rsidRPr="008F118B" w:rsidTr="00B03158">
        <w:tc>
          <w:tcPr>
            <w:tcW w:w="10012" w:type="dxa"/>
            <w:gridSpan w:val="4"/>
            <w:tcBorders>
              <w:top w:val="single" w:sz="4" w:space="0" w:color="auto"/>
            </w:tcBorders>
            <w:vAlign w:val="center"/>
          </w:tcPr>
          <w:p w:rsidR="00C05E9F" w:rsidRPr="00505534" w:rsidRDefault="00C05E9F" w:rsidP="00307B60">
            <w:pPr>
              <w:spacing w:line="276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 xml:space="preserve">Grade </w:t>
            </w:r>
            <w:proofErr w:type="gramStart"/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>I</w:t>
            </w:r>
            <w:proofErr w:type="gramEnd"/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 xml:space="preserve">,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Any deviation from the normal post-operative course not requiring surgical, endoscopic or radiological intervention. This includes the need for certain drugs (e.g.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antiemetics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, antipyretics, analgesics, diuretics and electrolytes), treatment with physiotherapy and wound infections that are opened at the bedside; </w:t>
            </w:r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 xml:space="preserve">Grade II,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Complications requiring drug treatments other than those allowed for Grade I complications; this includes blood transfusion and total parenteral nutrition (TPN); </w:t>
            </w:r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>Grade III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>, Complications requiring surgical, endoscopic or radiological intervention</w:t>
            </w:r>
            <w:r w:rsidR="00307B60">
              <w:rPr>
                <w:rFonts w:asciiTheme="majorBidi" w:eastAsia="Times New Roman" w:hAnsiTheme="majorBidi" w:cstheme="majorBidi"/>
                <w:color w:val="444444"/>
              </w:rPr>
              <w:t>.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 Grade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IIIa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 - intervention not under general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anaesthetic</w:t>
            </w:r>
            <w:proofErr w:type="spellEnd"/>
            <w:r w:rsidR="00307B60">
              <w:rPr>
                <w:rFonts w:asciiTheme="majorBidi" w:eastAsia="Times New Roman" w:hAnsiTheme="majorBidi" w:cstheme="majorBidi"/>
                <w:color w:val="444444"/>
              </w:rPr>
              <w:t xml:space="preserve">.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Grade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IIIb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 - intervention under general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anaesthetic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; </w:t>
            </w:r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>Grade IV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, Life-threatening complications; this includes CNS complications (e.g. brain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haemorrhage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,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ischaemic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 stroke, subarachnoid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haemorrhage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) which require intensive care, but excludes transient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ischaemic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 attacks (TIAs)</w:t>
            </w:r>
            <w:r w:rsidR="00307B60">
              <w:rPr>
                <w:rFonts w:asciiTheme="majorBidi" w:eastAsia="Times New Roman" w:hAnsiTheme="majorBidi" w:cstheme="majorBidi"/>
                <w:color w:val="444444"/>
              </w:rPr>
              <w:t xml:space="preserve">.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Grade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IVa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> - single-organ dysfunction (including dialysis)</w:t>
            </w:r>
            <w:r w:rsidR="00307B60">
              <w:rPr>
                <w:rFonts w:asciiTheme="majorBidi" w:eastAsia="Times New Roman" w:hAnsiTheme="majorBidi" w:cstheme="majorBidi"/>
                <w:color w:val="444444"/>
              </w:rPr>
              <w:t xml:space="preserve">.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Grade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IVb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 - multi-organ </w:t>
            </w:r>
            <w:proofErr w:type="spellStart"/>
            <w:r w:rsidRPr="00505534">
              <w:rPr>
                <w:rFonts w:asciiTheme="majorBidi" w:eastAsia="Times New Roman" w:hAnsiTheme="majorBidi" w:cstheme="majorBidi"/>
                <w:color w:val="444444"/>
              </w:rPr>
              <w:t>dysfuncton</w:t>
            </w:r>
            <w:proofErr w:type="spellEnd"/>
            <w:r w:rsidRPr="00505534">
              <w:rPr>
                <w:rFonts w:asciiTheme="majorBidi" w:eastAsia="Times New Roman" w:hAnsiTheme="majorBidi" w:cstheme="majorBidi"/>
                <w:color w:val="444444"/>
              </w:rPr>
              <w:t xml:space="preserve">; </w:t>
            </w:r>
            <w:r w:rsidRPr="00505534">
              <w:rPr>
                <w:rFonts w:asciiTheme="majorBidi" w:eastAsia="Times New Roman" w:hAnsiTheme="majorBidi" w:cstheme="majorBidi"/>
                <w:b/>
                <w:bCs/>
                <w:color w:val="444444"/>
              </w:rPr>
              <w:t xml:space="preserve">Grade V, </w:t>
            </w:r>
            <w:r w:rsidRPr="00505534">
              <w:rPr>
                <w:rFonts w:asciiTheme="majorBidi" w:eastAsia="Times New Roman" w:hAnsiTheme="majorBidi" w:cstheme="majorBidi"/>
                <w:color w:val="444444"/>
              </w:rPr>
              <w:t>Death of the patient</w:t>
            </w:r>
          </w:p>
          <w:p w:rsidR="00AD6CA8" w:rsidRDefault="00AD6CA8" w:rsidP="00C05E9F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57607" w:rsidRDefault="00657607"/>
    <w:sectPr w:rsidR="00657607" w:rsidSect="00743CB1">
      <w:pgSz w:w="11907" w:h="16839" w:code="9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wMjC2MDEFMowNTJR0lIJTi4sz8/NACkxqAdPgUJ8sAAAA"/>
  </w:docVars>
  <w:rsids>
    <w:rsidRoot w:val="001766CF"/>
    <w:rsid w:val="000210BA"/>
    <w:rsid w:val="00045F36"/>
    <w:rsid w:val="00062C8D"/>
    <w:rsid w:val="00102305"/>
    <w:rsid w:val="001766CF"/>
    <w:rsid w:val="001D6D48"/>
    <w:rsid w:val="00307B60"/>
    <w:rsid w:val="00332BDE"/>
    <w:rsid w:val="004315C0"/>
    <w:rsid w:val="00437A29"/>
    <w:rsid w:val="0056430A"/>
    <w:rsid w:val="0057561E"/>
    <w:rsid w:val="005F5E2C"/>
    <w:rsid w:val="00657607"/>
    <w:rsid w:val="006D23E2"/>
    <w:rsid w:val="00743CB1"/>
    <w:rsid w:val="007F016C"/>
    <w:rsid w:val="00885567"/>
    <w:rsid w:val="008F118B"/>
    <w:rsid w:val="00954769"/>
    <w:rsid w:val="00A14B67"/>
    <w:rsid w:val="00AC5BFE"/>
    <w:rsid w:val="00AD6CA8"/>
    <w:rsid w:val="00B03158"/>
    <w:rsid w:val="00B60F2B"/>
    <w:rsid w:val="00C056D5"/>
    <w:rsid w:val="00C05E9F"/>
    <w:rsid w:val="00C55163"/>
    <w:rsid w:val="00C55738"/>
    <w:rsid w:val="00C86170"/>
    <w:rsid w:val="00CB3195"/>
    <w:rsid w:val="00D57F83"/>
    <w:rsid w:val="00DB5114"/>
    <w:rsid w:val="00E12830"/>
    <w:rsid w:val="00E42C09"/>
    <w:rsid w:val="00E6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03559E-D78A-4CFC-8BD8-D8E1A47A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4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2830"/>
    <w:pPr>
      <w:keepNext/>
      <w:keepLines/>
      <w:bidi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b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2830"/>
    <w:rPr>
      <w:rFonts w:asciiTheme="majorHAnsi" w:eastAsiaTheme="majorEastAsia" w:hAnsiTheme="majorHAnsi" w:cstheme="majorBidi"/>
      <w:b/>
      <w:sz w:val="26"/>
      <w:szCs w:val="26"/>
      <w:lang w:bidi="fa-IR"/>
    </w:rPr>
  </w:style>
  <w:style w:type="table" w:styleId="TableGrid">
    <w:name w:val="Table Grid"/>
    <w:basedOn w:val="TableNormal"/>
    <w:uiPriority w:val="39"/>
    <w:rsid w:val="001D6D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7A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مریم برزین</cp:lastModifiedBy>
  <cp:revision>10</cp:revision>
  <dcterms:created xsi:type="dcterms:W3CDTF">2023-11-21T06:50:00Z</dcterms:created>
  <dcterms:modified xsi:type="dcterms:W3CDTF">2024-04-08T05:19:00Z</dcterms:modified>
</cp:coreProperties>
</file>