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00F" w:rsidRPr="00C45D5C" w:rsidRDefault="0099200F" w:rsidP="0099200F">
      <w:pPr>
        <w:pStyle w:val="P68B1DB1-Normal3"/>
        <w:spacing w:after="0" w:line="240" w:lineRule="auto"/>
        <w:jc w:val="both"/>
        <w:rPr>
          <w:rFonts w:ascii="Palatino Linotype" w:eastAsia="Times New Roman" w:hAnsi="Palatino Linotype" w:cs="Times New Roman"/>
          <w:szCs w:val="22"/>
        </w:rPr>
      </w:pPr>
      <w:r w:rsidRPr="00C45D5C">
        <w:rPr>
          <w:rFonts w:ascii="Palatino Linotype" w:eastAsia="Times New Roman" w:hAnsi="Palatino Linotype" w:cs="Times New Roman"/>
          <w:szCs w:val="22"/>
        </w:rPr>
        <w:t xml:space="preserve">Table 2- Disease severity index (ID) and area under the disease progress curve (AACPD) of glycerol-treated plants at concentrations of </w:t>
      </w:r>
      <w:proofErr w:type="gramStart"/>
      <w:r w:rsidRPr="00C45D5C">
        <w:rPr>
          <w:rFonts w:ascii="Palatino Linotype" w:eastAsia="Times New Roman" w:hAnsi="Palatino Linotype" w:cs="Times New Roman"/>
          <w:szCs w:val="22"/>
        </w:rPr>
        <w:t>3</w:t>
      </w:r>
      <w:proofErr w:type="gramEnd"/>
      <w:r w:rsidRPr="00C45D5C">
        <w:rPr>
          <w:rFonts w:ascii="Palatino Linotype" w:eastAsia="Times New Roman" w:hAnsi="Palatino Linotype" w:cs="Times New Roman"/>
          <w:szCs w:val="22"/>
        </w:rPr>
        <w:t>, 5, and 8%, water-treated plants, and control. Cruz das Almas, 2023.</w:t>
      </w:r>
    </w:p>
    <w:p w:rsidR="0099200F" w:rsidRDefault="0099200F" w:rsidP="0099200F">
      <w:pPr>
        <w:spacing w:after="0" w:line="240" w:lineRule="auto"/>
        <w:jc w:val="both"/>
        <w:rPr>
          <w:rFonts w:ascii="Palatino Linotype" w:eastAsia="Times New Roman" w:hAnsi="Palatino Linotype" w:cs="Times New Roman"/>
          <w:szCs w:val="22"/>
        </w:rPr>
      </w:pPr>
    </w:p>
    <w:tbl>
      <w:tblPr>
        <w:tblStyle w:val="1"/>
        <w:tblpPr w:leftFromText="141" w:rightFromText="141" w:vertAnchor="text" w:horzAnchor="margin" w:tblpYSpec="top"/>
        <w:tblOverlap w:val="never"/>
        <w:tblW w:w="8815" w:type="dxa"/>
        <w:tblLook w:val="0400" w:firstRow="0" w:lastRow="0" w:firstColumn="0" w:lastColumn="0" w:noHBand="0" w:noVBand="1"/>
      </w:tblPr>
      <w:tblGrid>
        <w:gridCol w:w="3659"/>
        <w:gridCol w:w="3055"/>
        <w:gridCol w:w="2101"/>
      </w:tblGrid>
      <w:tr w:rsidR="0099200F" w:rsidRPr="00C45D5C" w:rsidTr="00DE196A">
        <w:trPr>
          <w:trHeight w:val="410"/>
        </w:trPr>
        <w:tc>
          <w:tcPr>
            <w:tcW w:w="36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11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 xml:space="preserve">Treatment </w:t>
            </w:r>
          </w:p>
        </w:tc>
        <w:tc>
          <w:tcPr>
            <w:tcW w:w="30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11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ID</w:t>
            </w:r>
          </w:p>
        </w:tc>
        <w:tc>
          <w:tcPr>
            <w:tcW w:w="21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11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AACPD</w:t>
            </w:r>
          </w:p>
        </w:tc>
      </w:tr>
      <w:tr w:rsidR="0099200F" w:rsidRPr="00C45D5C" w:rsidTr="00DE196A">
        <w:trPr>
          <w:trHeight w:val="410"/>
        </w:trPr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Control</w:t>
            </w: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87,225 a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2740.280 a</w:t>
            </w:r>
          </w:p>
        </w:tc>
      </w:tr>
      <w:tr w:rsidR="0099200F" w:rsidRPr="00C45D5C" w:rsidTr="00DE196A">
        <w:trPr>
          <w:trHeight w:val="410"/>
        </w:trPr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Inoc+H2O</w:t>
            </w: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3,890 b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77,775 b</w:t>
            </w:r>
          </w:p>
        </w:tc>
      </w:tr>
      <w:tr w:rsidR="0099200F" w:rsidRPr="00C45D5C" w:rsidTr="00DE196A">
        <w:trPr>
          <w:trHeight w:val="410"/>
        </w:trPr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Glycerol 3%</w:t>
            </w: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110,560 a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3527.780 a</w:t>
            </w:r>
          </w:p>
        </w:tc>
      </w:tr>
      <w:tr w:rsidR="0099200F" w:rsidRPr="00C45D5C" w:rsidTr="00DE196A">
        <w:trPr>
          <w:trHeight w:val="410"/>
        </w:trPr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Glycerol 5%</w:t>
            </w:r>
          </w:p>
        </w:tc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101,670 a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3179,165 a</w:t>
            </w:r>
          </w:p>
        </w:tc>
      </w:tr>
      <w:tr w:rsidR="0099200F" w:rsidRPr="00C45D5C" w:rsidTr="00DE196A">
        <w:trPr>
          <w:trHeight w:val="433"/>
        </w:trPr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Glycerol 8%</w:t>
            </w:r>
          </w:p>
        </w:tc>
        <w:tc>
          <w:tcPr>
            <w:tcW w:w="3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151,665 a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00F" w:rsidRPr="00C45D5C" w:rsidRDefault="0099200F" w:rsidP="00DE196A">
            <w:pPr>
              <w:pStyle w:val="P68B1DB1-Normal3"/>
              <w:rPr>
                <w:rFonts w:ascii="Palatino Linotype" w:hAnsi="Palatino Linotype"/>
                <w:szCs w:val="22"/>
              </w:rPr>
            </w:pPr>
            <w:r w:rsidRPr="00C45D5C">
              <w:rPr>
                <w:rFonts w:ascii="Palatino Linotype" w:hAnsi="Palatino Linotype"/>
                <w:szCs w:val="22"/>
              </w:rPr>
              <w:t>4130.555 a</w:t>
            </w:r>
          </w:p>
        </w:tc>
      </w:tr>
    </w:tbl>
    <w:p w:rsidR="0099200F" w:rsidRPr="00E7107B" w:rsidRDefault="0099200F" w:rsidP="0099200F">
      <w:pPr>
        <w:spacing w:after="0" w:line="240" w:lineRule="auto"/>
        <w:jc w:val="both"/>
        <w:rPr>
          <w:rFonts w:ascii="Palatino Linotype" w:eastAsia="Times New Roman" w:hAnsi="Palatino Linotype" w:cs="Times New Roman"/>
          <w:szCs w:val="22"/>
          <w:vertAlign w:val="superscript"/>
        </w:rPr>
      </w:pPr>
      <w:r w:rsidRPr="00E7107B">
        <w:rPr>
          <w:rFonts w:ascii="Palatino Linotype" w:hAnsi="Palatino Linotype"/>
          <w:noProof/>
          <w:szCs w:val="22"/>
          <w:vertAlign w:val="superscript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0" hidden="0" allowOverlap="1" wp14:anchorId="1C7F6735" wp14:editId="5EA71340">
                <wp:simplePos x="0" y="0"/>
                <wp:positionH relativeFrom="column">
                  <wp:posOffset>-26035</wp:posOffset>
                </wp:positionH>
                <wp:positionV relativeFrom="paragraph">
                  <wp:posOffset>1675765</wp:posOffset>
                </wp:positionV>
                <wp:extent cx="5676900" cy="38100"/>
                <wp:effectExtent l="9525" t="9525" r="9525" b="9525"/>
                <wp:wrapNone/>
                <wp:docPr id="13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6900" cy="38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FB7635" id="Conector reto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05pt,131.95pt" to="444.95pt,1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" o:allowincell="f"/>
            </w:pict>
          </mc:Fallback>
        </mc:AlternateContent>
      </w:r>
      <w:r w:rsidRPr="00E7107B">
        <w:rPr>
          <w:rFonts w:ascii="Palatino Linotype" w:eastAsia="Times New Roman" w:hAnsi="Palatino Linotype" w:cs="Times New Roman"/>
          <w:szCs w:val="22"/>
          <w:vertAlign w:val="superscript"/>
        </w:rPr>
        <w:t>Same letter in the column belongs to the same grouping, according to Scott and Knott's test.</w:t>
      </w:r>
    </w:p>
    <w:p w:rsidR="0099798C" w:rsidRDefault="0099798C">
      <w:bookmarkStart w:id="0" w:name="_GoBack"/>
      <w:bookmarkEnd w:id="0"/>
    </w:p>
    <w:sectPr w:rsidR="009979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00F"/>
    <w:rsid w:val="0099200F"/>
    <w:rsid w:val="0099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96B4CAA-47E6-4856-A07B-49DC4A61F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200F"/>
    <w:rPr>
      <w:rFonts w:ascii="Calibri" w:eastAsia="Calibri" w:hAnsi="Calibri" w:cs="Calibri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68B1DB1-Normal3">
    <w:name w:val="P68B1DB1-Normal3"/>
    <w:basedOn w:val="Normal"/>
    <w:qFormat/>
    <w:rsid w:val="0099200F"/>
    <w:rPr>
      <w:rFonts w:ascii="Arial" w:eastAsia="Arial" w:hAnsi="Arial" w:cs="Arial"/>
    </w:rPr>
  </w:style>
  <w:style w:type="paragraph" w:customStyle="1" w:styleId="P68B1DB1-Normal11">
    <w:name w:val="P68B1DB1-Normal11"/>
    <w:basedOn w:val="Normal"/>
    <w:qFormat/>
    <w:rsid w:val="0099200F"/>
    <w:rPr>
      <w:rFonts w:ascii="Arial" w:eastAsia="Arial" w:hAnsi="Arial" w:cs="Arial"/>
      <w:b/>
    </w:rPr>
  </w:style>
  <w:style w:type="table" w:customStyle="1" w:styleId="1">
    <w:name w:val="1"/>
    <w:basedOn w:val="Tabelanormal"/>
    <w:rsid w:val="0099200F"/>
    <w:pPr>
      <w:spacing w:after="0" w:line="240" w:lineRule="auto"/>
    </w:pPr>
    <w:rPr>
      <w:rFonts w:ascii="Cambria" w:eastAsia="Cambria" w:hAnsi="Cambria" w:cs="Cambria"/>
      <w:szCs w:val="20"/>
      <w:lang w:val="en-US"/>
    </w:rPr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Fortes Ferreira-Mat: 00309617-CNPMF-NT1</dc:creator>
  <cp:keywords/>
  <dc:description/>
  <cp:lastModifiedBy>Claudia Fortes Ferreira-Mat: 00309617-CNPMF-NT1</cp:lastModifiedBy>
  <cp:revision>1</cp:revision>
  <dcterms:created xsi:type="dcterms:W3CDTF">2024-04-22T19:57:00Z</dcterms:created>
  <dcterms:modified xsi:type="dcterms:W3CDTF">2024-04-22T19:57:00Z</dcterms:modified>
</cp:coreProperties>
</file>