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b/>
          <w:bCs/>
          <w:sz w:val="20"/>
          <w:szCs w:val="18"/>
        </w:rPr>
      </w:pPr>
      <w:r>
        <w:rPr>
          <w:rFonts w:hint="default"/>
          <w:b/>
          <w:bCs/>
          <w:sz w:val="20"/>
          <w:szCs w:val="18"/>
        </w:rPr>
        <w:t>Supple</w:t>
      </w:r>
      <w:bookmarkStart w:id="5" w:name="_GoBack"/>
      <w:bookmarkEnd w:id="5"/>
      <w:r>
        <w:rPr>
          <w:rFonts w:hint="default"/>
          <w:b/>
          <w:bCs/>
          <w:sz w:val="20"/>
          <w:szCs w:val="18"/>
        </w:rPr>
        <w:t>mentary materials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sz w:val="20"/>
          <w:szCs w:val="18"/>
        </w:rPr>
      </w:pPr>
      <w:r>
        <w:rPr>
          <w:rFonts w:hint="default"/>
          <w:b/>
          <w:bCs/>
          <w:sz w:val="20"/>
          <w:szCs w:val="18"/>
        </w:rPr>
        <w:t>Impact of non optimal ambient temperature and temperature variation on the mortality of cardiovascular diseases: A research in small city of Wuhu,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hint="eastAsia" w:ascii="Times New Roman" w:hAnsi="Times New Roman" w:cs="Times New Roman"/>
          <w:sz w:val="20"/>
          <w:szCs w:val="20"/>
        </w:rPr>
        <w:t>Tao Zhang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hint="eastAsia" w:ascii="Times New Roman" w:hAnsi="Times New Roman" w:cs="Times New Roman"/>
          <w:sz w:val="20"/>
          <w:szCs w:val="20"/>
          <w:vertAlign w:val="superscript"/>
        </w:rPr>
        <w:t>,b,1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Huimin Xie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hint="eastAsia" w:ascii="Times New Roman" w:hAnsi="Times New Roman" w:cs="Times New Roman"/>
          <w:sz w:val="20"/>
          <w:szCs w:val="20"/>
          <w:vertAlign w:val="superscript"/>
        </w:rPr>
        <w:t>,b,1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bookmarkStart w:id="0" w:name="OLE_LINK2"/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Xu Zhang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hint="eastAsia" w:ascii="Times New Roman" w:hAnsi="Times New Roman" w:cs="Times New Roman"/>
          <w:sz w:val="20"/>
          <w:szCs w:val="20"/>
          <w:vertAlign w:val="superscript"/>
        </w:rPr>
        <w:t>,</w:t>
      </w:r>
      <w:r>
        <w:rPr>
          <w:rFonts w:hint="eastAsia" w:ascii="Times New Roman" w:hAnsi="Times New Roman" w:cs="Times New Roman"/>
          <w:sz w:val="20"/>
          <w:szCs w:val="20"/>
          <w:vertAlign w:val="superscript"/>
          <w:lang w:val="en-US" w:eastAsia="zh-CN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Jianping Ni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hint="eastAsia" w:ascii="Times New Roman" w:hAnsi="Times New Roman" w:cs="Times New Roman"/>
          <w:sz w:val="20"/>
          <w:szCs w:val="20"/>
          <w:vertAlign w:val="superscript"/>
        </w:rPr>
        <w:t>,</w:t>
      </w:r>
      <w:r>
        <w:rPr>
          <w:rFonts w:hint="eastAsia" w:ascii="Times New Roman" w:hAnsi="Times New Roman" w:cs="Times New Roman"/>
          <w:sz w:val="20"/>
          <w:szCs w:val="20"/>
          <w:vertAlign w:val="superscript"/>
          <w:lang w:val="en-US" w:eastAsia="zh-CN"/>
        </w:rPr>
        <w:t>b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Guoqing Li</w:t>
      </w:r>
      <w:r>
        <w:rPr>
          <w:rFonts w:hint="eastAsia" w:ascii="Times New Roman" w:hAnsi="Times New Roman" w:cs="Times New Roman"/>
          <w:sz w:val="20"/>
          <w:szCs w:val="20"/>
          <w:vertAlign w:val="superscript"/>
        </w:rPr>
        <w:t>a,</w:t>
      </w:r>
      <w:r>
        <w:rPr>
          <w:rFonts w:hint="eastAsia" w:ascii="Times New Roman" w:hAnsi="Times New Roman" w:cs="Times New Roman"/>
          <w:sz w:val="20"/>
          <w:szCs w:val="20"/>
          <w:vertAlign w:val="superscript"/>
          <w:lang w:val="en-US" w:eastAsia="zh-CN"/>
        </w:rPr>
        <w:t>b</w:t>
      </w:r>
      <w:r>
        <w:rPr>
          <w:rFonts w:hint="eastAsia" w:ascii="Times New Roman" w:hAnsi="Times New Roman" w:cs="Times New Roman"/>
          <w:sz w:val="20"/>
          <w:szCs w:val="20"/>
        </w:rPr>
        <w:t xml:space="preserve">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Hanqing Wu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hint="eastAsia" w:ascii="Times New Roman" w:hAnsi="Times New Roman" w:cs="Times New Roman"/>
          <w:sz w:val="20"/>
          <w:szCs w:val="20"/>
          <w:vertAlign w:val="superscript"/>
        </w:rPr>
        <w:t>,b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J</w:t>
      </w:r>
      <w:r>
        <w:rPr>
          <w:rFonts w:hint="eastAsia" w:ascii="Times New Roman" w:hAnsi="Times New Roman" w:cs="Times New Roman"/>
          <w:sz w:val="20"/>
          <w:szCs w:val="20"/>
        </w:rPr>
        <w:t>iansheng</w:t>
      </w:r>
      <w:r>
        <w:rPr>
          <w:rFonts w:ascii="Times New Roman" w:hAnsi="Times New Roman" w:cs="Times New Roman"/>
          <w:sz w:val="20"/>
          <w:szCs w:val="20"/>
        </w:rPr>
        <w:t xml:space="preserve"> Z</w:t>
      </w:r>
      <w:r>
        <w:rPr>
          <w:rFonts w:hint="eastAsia" w:ascii="Times New Roman" w:hAnsi="Times New Roman" w:cs="Times New Roman"/>
          <w:sz w:val="20"/>
          <w:szCs w:val="20"/>
        </w:rPr>
        <w:t>hu</w:t>
      </w:r>
      <w:r>
        <w:rPr>
          <w:rFonts w:hint="eastAsia" w:ascii="Times New Roman" w:hAnsi="Times New Roman" w:cs="Times New Roman"/>
          <w:sz w:val="20"/>
          <w:szCs w:val="20"/>
          <w:vertAlign w:val="superscript"/>
          <w:lang w:val="en-US" w:eastAsia="zh-CN"/>
        </w:rPr>
        <w:t>c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Faming Pan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a,</w:t>
      </w:r>
      <w:r>
        <w:rPr>
          <w:rFonts w:hint="eastAsia"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bookmarkEnd w:id="0"/>
    </w:p>
    <w:p>
      <w:pPr>
        <w:spacing w:line="480" w:lineRule="auto"/>
        <w:jc w:val="left"/>
        <w:rPr>
          <w:rFonts w:ascii="Times New Roman" w:hAnsi="Times New Roman" w:cs="Times New Roman"/>
          <w:sz w:val="20"/>
          <w:szCs w:val="20"/>
          <w:vertAlign w:val="superscript"/>
        </w:rPr>
      </w:pPr>
    </w:p>
    <w:p>
      <w:pPr>
        <w:jc w:val="left"/>
        <w:rPr>
          <w:rFonts w:hint="default"/>
          <w:b/>
          <w:bCs/>
          <w:sz w:val="20"/>
          <w:szCs w:val="18"/>
        </w:rPr>
      </w:pPr>
      <w:r>
        <w:rPr>
          <w:rFonts w:hint="default"/>
          <w:b/>
          <w:bCs/>
          <w:sz w:val="20"/>
          <w:szCs w:val="18"/>
        </w:rPr>
        <w:t>List of charts</w:t>
      </w:r>
    </w:p>
    <w:p>
      <w:pPr>
        <w:rPr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S</w:t>
      </w:r>
      <w:r>
        <w:rPr>
          <w:b/>
          <w:bCs/>
          <w:sz w:val="20"/>
          <w:szCs w:val="20"/>
        </w:rPr>
        <w:t xml:space="preserve">.Fig.1 </w:t>
      </w:r>
      <w:r>
        <w:rPr>
          <w:color w:val="000000"/>
          <w:kern w:val="0"/>
          <w:sz w:val="20"/>
          <w:szCs w:val="20"/>
        </w:rPr>
        <w:t>The time series distribution of daily CVD deaths, DMT, DTR and RH in</w:t>
      </w:r>
      <w:r>
        <w:rPr>
          <w:rFonts w:hint="eastAsia"/>
          <w:color w:val="000000"/>
          <w:kern w:val="0"/>
          <w:sz w:val="20"/>
          <w:szCs w:val="20"/>
        </w:rPr>
        <w:t xml:space="preserve"> </w:t>
      </w:r>
      <w:r>
        <w:rPr>
          <w:color w:val="000000"/>
          <w:kern w:val="0"/>
          <w:sz w:val="20"/>
          <w:szCs w:val="20"/>
        </w:rPr>
        <w:t>Wuhu, China, from 2014 to 2020</w:t>
      </w:r>
    </w:p>
    <w:p>
      <w:r>
        <w:rPr>
          <w:b/>
          <w:bCs/>
          <w:color w:val="000000"/>
          <w:kern w:val="0"/>
          <w:sz w:val="20"/>
          <w:szCs w:val="20"/>
        </w:rPr>
        <w:t>S.Fig. 2</w:t>
      </w:r>
      <w:r>
        <w:rPr>
          <w:color w:val="000000"/>
          <w:kern w:val="0"/>
          <w:sz w:val="20"/>
          <w:szCs w:val="20"/>
        </w:rPr>
        <w:t xml:space="preserve"> </w:t>
      </w:r>
      <w:r>
        <w:rPr>
          <w:color w:val="131413"/>
          <w:kern w:val="0"/>
          <w:sz w:val="20"/>
          <w:szCs w:val="20"/>
        </w:rPr>
        <w:t>Spearman’s correlation coefficients</w:t>
      </w:r>
      <w:r>
        <w:rPr>
          <w:color w:val="000000"/>
          <w:kern w:val="0"/>
          <w:sz w:val="20"/>
          <w:szCs w:val="20"/>
        </w:rPr>
        <w:t xml:space="preserve"> between meteorological factors and atmospheric pollutants in Wuhu, China, from 2014 to 2020.</w:t>
      </w:r>
    </w:p>
    <w:p>
      <w:pPr>
        <w:jc w:val="left"/>
        <w:rPr>
          <w:sz w:val="20"/>
          <w:szCs w:val="20"/>
        </w:rPr>
      </w:pPr>
      <w:r>
        <w:rPr>
          <w:b/>
          <w:bCs/>
          <w:sz w:val="20"/>
          <w:szCs w:val="20"/>
        </w:rPr>
        <w:t>S.Fig.3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  <w:lang w:val="en-US" w:eastAsia="zh-CN"/>
        </w:rPr>
        <w:t xml:space="preserve">(A) </w:t>
      </w:r>
      <w:r>
        <w:rPr>
          <w:sz w:val="20"/>
          <w:szCs w:val="20"/>
        </w:rPr>
        <w:t xml:space="preserve">3D and countour plot of association between DMT and daily CVD deaths over lag 0-21 days, with </w:t>
      </w:r>
      <w:r>
        <w:rPr>
          <w:rFonts w:hint="eastAsia"/>
          <w:sz w:val="20"/>
          <w:szCs w:val="20"/>
          <w:lang w:val="en-US" w:eastAsia="zh-CN"/>
        </w:rPr>
        <w:t>D</w:t>
      </w:r>
      <w:r>
        <w:rPr>
          <w:sz w:val="20"/>
          <w:szCs w:val="20"/>
        </w:rPr>
        <w:t>MT(10℃) as the reference temperature.</w:t>
      </w:r>
      <w:r>
        <w:rPr>
          <w:rFonts w:hint="eastAsia"/>
          <w:sz w:val="20"/>
          <w:szCs w:val="20"/>
          <w:lang w:val="en-US" w:eastAsia="zh-CN"/>
        </w:rPr>
        <w:t xml:space="preserve"> (B) </w:t>
      </w:r>
      <w:r>
        <w:rPr>
          <w:sz w:val="20"/>
          <w:szCs w:val="20"/>
        </w:rPr>
        <w:t xml:space="preserve">3D and countour plot of association between </w:t>
      </w:r>
      <w:r>
        <w:rPr>
          <w:rFonts w:hint="eastAsia"/>
          <w:sz w:val="20"/>
          <w:szCs w:val="20"/>
          <w:lang w:val="en-US" w:eastAsia="zh-CN"/>
        </w:rPr>
        <w:t>DTR</w:t>
      </w:r>
      <w:r>
        <w:rPr>
          <w:sz w:val="20"/>
          <w:szCs w:val="20"/>
        </w:rPr>
        <w:t xml:space="preserve"> and daily CVD deaths over lag 0-21 days, with </w:t>
      </w:r>
      <w:r>
        <w:rPr>
          <w:rFonts w:hint="eastAsia"/>
          <w:sz w:val="20"/>
          <w:szCs w:val="20"/>
          <w:lang w:val="en-US" w:eastAsia="zh-CN"/>
        </w:rPr>
        <w:t>D</w:t>
      </w:r>
      <w:r>
        <w:rPr>
          <w:sz w:val="20"/>
          <w:szCs w:val="20"/>
        </w:rPr>
        <w:t>MT(10℃) as the reference temperature.</w:t>
      </w:r>
    </w:p>
    <w:p>
      <w:pPr>
        <w:jc w:val="left"/>
        <w:rPr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S</w:t>
      </w:r>
      <w:r>
        <w:rPr>
          <w:b/>
          <w:bCs/>
          <w:sz w:val="20"/>
          <w:szCs w:val="20"/>
        </w:rPr>
        <w:t>.Fig 4</w:t>
      </w:r>
      <w:r>
        <w:rPr>
          <w:sz w:val="20"/>
          <w:szCs w:val="20"/>
        </w:rPr>
        <w:t xml:space="preserve"> </w:t>
      </w:r>
      <w:r>
        <w:rPr>
          <w:rFonts w:hint="eastAsia"/>
          <w:color w:val="000000"/>
          <w:kern w:val="0"/>
          <w:sz w:val="20"/>
          <w:szCs w:val="20"/>
        </w:rPr>
        <w:t>E</w:t>
      </w:r>
      <w:r>
        <w:rPr>
          <w:color w:val="000000"/>
          <w:kern w:val="0"/>
          <w:sz w:val="20"/>
          <w:szCs w:val="20"/>
        </w:rPr>
        <w:t>xtreme and moderate single-day lag effects of DMT and DTR on daily CVD</w:t>
      </w:r>
      <w:r>
        <w:rPr>
          <w:rFonts w:hint="eastAsia"/>
          <w:color w:val="000000"/>
          <w:kern w:val="0"/>
          <w:sz w:val="20"/>
          <w:szCs w:val="20"/>
        </w:rPr>
        <w:t xml:space="preserve"> </w:t>
      </w:r>
      <w:r>
        <w:rPr>
          <w:color w:val="000000"/>
          <w:kern w:val="0"/>
          <w:sz w:val="20"/>
          <w:szCs w:val="20"/>
        </w:rPr>
        <w:t>deaths (reference DMT 10</w:t>
      </w:r>
      <w:r>
        <w:rPr>
          <w:rFonts w:hint="eastAsia"/>
          <w:color w:val="000000"/>
          <w:kern w:val="0"/>
          <w:sz w:val="20"/>
          <w:szCs w:val="20"/>
        </w:rPr>
        <w:t>℃;</w:t>
      </w:r>
      <w:r>
        <w:rPr>
          <w:color w:val="000000"/>
          <w:kern w:val="0"/>
          <w:sz w:val="20"/>
          <w:szCs w:val="20"/>
        </w:rPr>
        <w:t xml:space="preserve"> DTR 8</w:t>
      </w:r>
      <w:r>
        <w:rPr>
          <w:rFonts w:hint="eastAsia"/>
          <w:color w:val="000000"/>
          <w:kern w:val="0"/>
          <w:sz w:val="20"/>
          <w:szCs w:val="20"/>
        </w:rPr>
        <w:t>℃</w:t>
      </w:r>
      <w:r>
        <w:rPr>
          <w:color w:val="000000"/>
          <w:kern w:val="0"/>
          <w:sz w:val="20"/>
          <w:szCs w:val="20"/>
        </w:rPr>
        <w:t>).</w:t>
      </w:r>
    </w:p>
    <w:p>
      <w:pPr>
        <w:jc w:val="left"/>
        <w:rPr>
          <w:rFonts w:hint="eastAsia"/>
          <w:color w:val="000000"/>
          <w:kern w:val="0"/>
          <w:sz w:val="20"/>
          <w:szCs w:val="20"/>
        </w:rPr>
      </w:pPr>
      <w:r>
        <w:rPr>
          <w:rFonts w:hint="eastAsia"/>
          <w:color w:val="000000"/>
          <w:kern w:val="0"/>
          <w:sz w:val="20"/>
          <w:szCs w:val="20"/>
        </w:rPr>
        <w:t>S.Fig 5 Extreme and moderate cumulative lag effects of DMT and DTR on daily CVD deaths (reference DMT 10℃; DTR 8℃).</w:t>
      </w:r>
    </w:p>
    <w:p>
      <w:pPr>
        <w:jc w:val="left"/>
        <w:rPr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S</w:t>
      </w:r>
      <w:r>
        <w:rPr>
          <w:b/>
          <w:bCs/>
          <w:sz w:val="20"/>
          <w:szCs w:val="20"/>
        </w:rPr>
        <w:t xml:space="preserve">.Fig 6 </w:t>
      </w:r>
      <w:r>
        <w:rPr>
          <w:b w:val="0"/>
          <w:bCs w:val="0"/>
          <w:sz w:val="20"/>
          <w:szCs w:val="20"/>
        </w:rPr>
        <w:t>C</w:t>
      </w:r>
      <w:r>
        <w:rPr>
          <w:rFonts w:hint="eastAsia"/>
          <w:b w:val="0"/>
          <w:bCs w:val="0"/>
          <w:sz w:val="20"/>
          <w:szCs w:val="20"/>
        </w:rPr>
        <w:t>u</w:t>
      </w:r>
      <w:r>
        <w:rPr>
          <w:b w:val="0"/>
          <w:bCs w:val="0"/>
          <w:sz w:val="20"/>
          <w:szCs w:val="20"/>
        </w:rPr>
        <w:t>mulative exposure-response relationship over a lag of (A) 18, (B) 25 and (C) 30 days, respectively.</w:t>
      </w:r>
    </w:p>
    <w:p>
      <w:pPr>
        <w:jc w:val="left"/>
        <w:rPr>
          <w:b w:val="0"/>
          <w:bCs w:val="0"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S</w:t>
      </w:r>
      <w:r>
        <w:rPr>
          <w:b/>
          <w:bCs/>
          <w:sz w:val="20"/>
          <w:szCs w:val="20"/>
        </w:rPr>
        <w:t xml:space="preserve">.Fig 7 </w:t>
      </w:r>
      <w:r>
        <w:rPr>
          <w:b w:val="0"/>
          <w:bCs w:val="0"/>
          <w:sz w:val="20"/>
          <w:szCs w:val="20"/>
        </w:rPr>
        <w:t>C</w:t>
      </w:r>
      <w:r>
        <w:rPr>
          <w:rFonts w:hint="eastAsia"/>
          <w:b w:val="0"/>
          <w:bCs w:val="0"/>
          <w:sz w:val="20"/>
          <w:szCs w:val="20"/>
        </w:rPr>
        <w:t>u</w:t>
      </w:r>
      <w:r>
        <w:rPr>
          <w:b w:val="0"/>
          <w:bCs w:val="0"/>
          <w:sz w:val="20"/>
          <w:szCs w:val="20"/>
        </w:rPr>
        <w:t>mulative exposure-response relationship over a lag of 21 days, using (D) 6, (E) 7 and (F) 8 df per year for time, respectively.</w:t>
      </w:r>
    </w:p>
    <w:p>
      <w:pPr>
        <w:jc w:val="left"/>
        <w:rPr>
          <w:b w:val="0"/>
          <w:bCs w:val="0"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S</w:t>
      </w:r>
      <w:r>
        <w:rPr>
          <w:b/>
          <w:bCs/>
          <w:sz w:val="20"/>
          <w:szCs w:val="20"/>
        </w:rPr>
        <w:t xml:space="preserve">.Fig 8 </w:t>
      </w:r>
      <w:r>
        <w:rPr>
          <w:b w:val="0"/>
          <w:bCs w:val="0"/>
          <w:sz w:val="20"/>
          <w:szCs w:val="20"/>
        </w:rPr>
        <w:t>C</w:t>
      </w:r>
      <w:r>
        <w:rPr>
          <w:rFonts w:hint="eastAsia"/>
          <w:b w:val="0"/>
          <w:bCs w:val="0"/>
          <w:sz w:val="20"/>
          <w:szCs w:val="20"/>
        </w:rPr>
        <w:t>u</w:t>
      </w:r>
      <w:r>
        <w:rPr>
          <w:b w:val="0"/>
          <w:bCs w:val="0"/>
          <w:sz w:val="20"/>
          <w:szCs w:val="20"/>
        </w:rPr>
        <w:t>mulative exposure-response relationship over a lag of 21 days, using (G) 3, (H) 4 and (I) 5 df for daily mean temperature, respectively.</w:t>
      </w:r>
    </w:p>
    <w:p>
      <w:pPr>
        <w:jc w:val="left"/>
        <w:rPr>
          <w:sz w:val="20"/>
          <w:szCs w:val="20"/>
          <w:highlight w:val="none"/>
        </w:rPr>
      </w:pPr>
      <w:r>
        <w:rPr>
          <w:rFonts w:hint="eastAsia"/>
          <w:b/>
          <w:bCs/>
          <w:sz w:val="20"/>
          <w:szCs w:val="20"/>
          <w:highlight w:val="none"/>
        </w:rPr>
        <w:t>S</w:t>
      </w:r>
      <w:r>
        <w:rPr>
          <w:b/>
          <w:bCs/>
          <w:sz w:val="20"/>
          <w:szCs w:val="20"/>
          <w:highlight w:val="none"/>
        </w:rPr>
        <w:t xml:space="preserve">.Fig 9 </w:t>
      </w:r>
      <w:r>
        <w:rPr>
          <w:b w:val="0"/>
          <w:bCs w:val="0"/>
          <w:sz w:val="20"/>
          <w:szCs w:val="20"/>
          <w:highlight w:val="none"/>
        </w:rPr>
        <w:t>C</w:t>
      </w:r>
      <w:r>
        <w:rPr>
          <w:rFonts w:hint="eastAsia"/>
          <w:b w:val="0"/>
          <w:bCs w:val="0"/>
          <w:sz w:val="20"/>
          <w:szCs w:val="20"/>
          <w:highlight w:val="none"/>
        </w:rPr>
        <w:t>u</w:t>
      </w:r>
      <w:r>
        <w:rPr>
          <w:b w:val="0"/>
          <w:bCs w:val="0"/>
          <w:sz w:val="20"/>
          <w:szCs w:val="20"/>
          <w:highlight w:val="none"/>
        </w:rPr>
        <w:t>mulative exposure-response relationship over a lag of (a) 18, (b) 25 and (c) 30 days, respectively.</w:t>
      </w:r>
    </w:p>
    <w:p>
      <w:pPr>
        <w:jc w:val="left"/>
        <w:rPr>
          <w:b w:val="0"/>
          <w:bCs w:val="0"/>
          <w:sz w:val="20"/>
          <w:szCs w:val="20"/>
          <w:highlight w:val="none"/>
        </w:rPr>
      </w:pPr>
      <w:r>
        <w:rPr>
          <w:rFonts w:hint="eastAsia"/>
          <w:b/>
          <w:bCs/>
          <w:sz w:val="20"/>
          <w:szCs w:val="20"/>
          <w:highlight w:val="none"/>
        </w:rPr>
        <w:t>S</w:t>
      </w:r>
      <w:r>
        <w:rPr>
          <w:b/>
          <w:bCs/>
          <w:sz w:val="20"/>
          <w:szCs w:val="20"/>
          <w:highlight w:val="none"/>
        </w:rPr>
        <w:t xml:space="preserve">.Fig 10 </w:t>
      </w:r>
      <w:r>
        <w:rPr>
          <w:b w:val="0"/>
          <w:bCs w:val="0"/>
          <w:sz w:val="20"/>
          <w:szCs w:val="20"/>
          <w:highlight w:val="none"/>
        </w:rPr>
        <w:t>C</w:t>
      </w:r>
      <w:r>
        <w:rPr>
          <w:rFonts w:hint="eastAsia"/>
          <w:b w:val="0"/>
          <w:bCs w:val="0"/>
          <w:sz w:val="20"/>
          <w:szCs w:val="20"/>
          <w:highlight w:val="none"/>
        </w:rPr>
        <w:t>u</w:t>
      </w:r>
      <w:r>
        <w:rPr>
          <w:b w:val="0"/>
          <w:bCs w:val="0"/>
          <w:sz w:val="20"/>
          <w:szCs w:val="20"/>
          <w:highlight w:val="none"/>
        </w:rPr>
        <w:t>mulative exposure-response relationship over a lag of 21 days, using (d) 6, (e) 7 and (f) 8 df per year for time, respectively.</w:t>
      </w:r>
    </w:p>
    <w:p>
      <w:pPr>
        <w:jc w:val="left"/>
        <w:rPr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S</w:t>
      </w:r>
      <w:r>
        <w:rPr>
          <w:b/>
          <w:bCs/>
          <w:sz w:val="20"/>
          <w:szCs w:val="20"/>
        </w:rPr>
        <w:t xml:space="preserve">.Fig 11 </w:t>
      </w:r>
      <w:r>
        <w:rPr>
          <w:b w:val="0"/>
          <w:bCs w:val="0"/>
          <w:sz w:val="20"/>
          <w:szCs w:val="20"/>
        </w:rPr>
        <w:t>C</w:t>
      </w:r>
      <w:r>
        <w:rPr>
          <w:rFonts w:hint="eastAsia"/>
          <w:b w:val="0"/>
          <w:bCs w:val="0"/>
          <w:sz w:val="20"/>
          <w:szCs w:val="20"/>
        </w:rPr>
        <w:t>u</w:t>
      </w:r>
      <w:r>
        <w:rPr>
          <w:b w:val="0"/>
          <w:bCs w:val="0"/>
          <w:sz w:val="20"/>
          <w:szCs w:val="20"/>
        </w:rPr>
        <w:t xml:space="preserve">mulative exposure-response relationship over a lag of 21 days, using (g) 3, (h) 4 and (i) </w:t>
      </w:r>
      <w:r>
        <w:rPr>
          <w:b w:val="0"/>
          <w:bCs w:val="0"/>
          <w:sz w:val="20"/>
          <w:szCs w:val="20"/>
          <w:highlight w:val="none"/>
        </w:rPr>
        <w:t>5 df for diurnal temperature range, respectively</w:t>
      </w:r>
      <w:r>
        <w:rPr>
          <w:b w:val="0"/>
          <w:bCs w:val="0"/>
          <w:sz w:val="20"/>
          <w:szCs w:val="20"/>
        </w:rPr>
        <w:t>.</w:t>
      </w:r>
    </w:p>
    <w:p>
      <w:pPr>
        <w:jc w:val="left"/>
        <w:rPr>
          <w:rFonts w:hint="eastAsia" w:eastAsia="SimSun"/>
          <w:sz w:val="20"/>
          <w:szCs w:val="20"/>
          <w:lang w:val="en-US" w:eastAsia="zh-CN"/>
        </w:rPr>
      </w:pPr>
      <w:r>
        <w:rPr>
          <w:b/>
          <w:bCs/>
          <w:sz w:val="20"/>
          <w:szCs w:val="20"/>
        </w:rPr>
        <w:t>S.</w:t>
      </w:r>
      <w:r>
        <w:rPr>
          <w:rFonts w:hint="eastAsia"/>
          <w:b/>
          <w:bCs/>
          <w:sz w:val="20"/>
          <w:szCs w:val="20"/>
        </w:rPr>
        <w:t>T</w:t>
      </w:r>
      <w:r>
        <w:rPr>
          <w:b/>
          <w:bCs/>
          <w:sz w:val="20"/>
          <w:szCs w:val="20"/>
        </w:rPr>
        <w:t>able1</w:t>
      </w:r>
      <w:r>
        <w:rPr>
          <w:rFonts w:hint="eastAsia"/>
          <w:b/>
          <w:bCs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T</w:t>
      </w:r>
      <w:r>
        <w:rPr>
          <w:sz w:val="20"/>
          <w:szCs w:val="20"/>
        </w:rPr>
        <w:t>he overall lag-cumulative exposure-response relationship between DMT and the mortality of CVD</w:t>
      </w:r>
      <w:r>
        <w:rPr>
          <w:rFonts w:hint="eastAsia"/>
          <w:sz w:val="20"/>
          <w:szCs w:val="20"/>
          <w:lang w:val="en-US" w:eastAsia="zh-CN"/>
        </w:rPr>
        <w:t>.</w:t>
      </w:r>
    </w:p>
    <w:p>
      <w:pPr>
        <w:jc w:val="left"/>
        <w:rPr>
          <w:rFonts w:hint="eastAsia" w:eastAsia="SimSun"/>
          <w:sz w:val="20"/>
          <w:szCs w:val="20"/>
          <w:lang w:val="en-US" w:eastAsia="zh-CN"/>
        </w:rPr>
      </w:pPr>
      <w:r>
        <w:rPr>
          <w:b/>
          <w:bCs/>
          <w:sz w:val="20"/>
          <w:szCs w:val="20"/>
        </w:rPr>
        <w:t>S.</w:t>
      </w:r>
      <w:r>
        <w:rPr>
          <w:rFonts w:hint="eastAsia"/>
          <w:b/>
          <w:bCs/>
          <w:sz w:val="20"/>
          <w:szCs w:val="20"/>
        </w:rPr>
        <w:t>T</w:t>
      </w:r>
      <w:r>
        <w:rPr>
          <w:b/>
          <w:bCs/>
          <w:sz w:val="20"/>
          <w:szCs w:val="20"/>
        </w:rPr>
        <w:t>able2</w:t>
      </w:r>
      <w:r>
        <w:rPr>
          <w:rFonts w:hint="eastAsia"/>
          <w:b/>
          <w:bCs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T</w:t>
      </w:r>
      <w:r>
        <w:rPr>
          <w:sz w:val="20"/>
          <w:szCs w:val="20"/>
        </w:rPr>
        <w:t>he overall lag-cumulative exposure-response relationship between DTR and the mortality of CVD</w:t>
      </w:r>
      <w:r>
        <w:rPr>
          <w:rFonts w:hint="eastAsia"/>
          <w:sz w:val="20"/>
          <w:szCs w:val="20"/>
          <w:lang w:val="en-US" w:eastAsia="zh-CN"/>
        </w:rPr>
        <w:t>.</w:t>
      </w:r>
    </w:p>
    <w:p>
      <w:pPr>
        <w:rPr>
          <w:sz w:val="20"/>
          <w:szCs w:val="20"/>
        </w:rPr>
      </w:pPr>
      <w:r>
        <w:rPr>
          <w:b/>
          <w:bCs/>
          <w:sz w:val="20"/>
          <w:szCs w:val="20"/>
        </w:rPr>
        <w:t>S.</w:t>
      </w:r>
      <w:r>
        <w:rPr>
          <w:rFonts w:hint="eastAsia"/>
          <w:b/>
          <w:bCs/>
          <w:sz w:val="20"/>
          <w:szCs w:val="20"/>
        </w:rPr>
        <w:t>T</w:t>
      </w:r>
      <w:r>
        <w:rPr>
          <w:b/>
          <w:bCs/>
          <w:sz w:val="20"/>
          <w:szCs w:val="20"/>
        </w:rPr>
        <w:t xml:space="preserve">able3 </w:t>
      </w:r>
      <w:r>
        <w:rPr>
          <w:sz w:val="20"/>
          <w:szCs w:val="20"/>
        </w:rPr>
        <w:t>RRs and their 95% CIs of extreme and moderate effects of DMT and DTR</w:t>
      </w:r>
      <w:r>
        <w:rPr>
          <w:rFonts w:hint="eastAsia"/>
          <w:sz w:val="20"/>
          <w:szCs w:val="20"/>
        </w:rPr>
        <w:t xml:space="preserve"> </w:t>
      </w:r>
      <w:r>
        <w:rPr>
          <w:sz w:val="20"/>
          <w:szCs w:val="20"/>
        </w:rPr>
        <w:t>on daily CVD deaths for different single-day lags</w:t>
      </w:r>
    </w:p>
    <w:p>
      <w:pPr>
        <w:jc w:val="left"/>
        <w:rPr>
          <w:rFonts w:hint="default"/>
          <w:sz w:val="20"/>
          <w:szCs w:val="20"/>
        </w:rPr>
      </w:pPr>
    </w:p>
    <w:p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756285</wp:posOffset>
            </wp:positionH>
            <wp:positionV relativeFrom="paragraph">
              <wp:posOffset>429260</wp:posOffset>
            </wp:positionV>
            <wp:extent cx="4150995" cy="4150995"/>
            <wp:effectExtent l="0" t="0" r="1905" b="190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0995" cy="415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b/>
          <w:bCs/>
          <w:sz w:val="20"/>
          <w:szCs w:val="20"/>
        </w:rPr>
      </w:pPr>
    </w:p>
    <w:p>
      <w:pPr>
        <w:rPr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S</w:t>
      </w:r>
      <w:r>
        <w:rPr>
          <w:b/>
          <w:bCs/>
          <w:sz w:val="20"/>
          <w:szCs w:val="20"/>
        </w:rPr>
        <w:t xml:space="preserve">.Fig.1 </w:t>
      </w:r>
      <w:r>
        <w:rPr>
          <w:color w:val="000000"/>
          <w:kern w:val="0"/>
          <w:sz w:val="20"/>
          <w:szCs w:val="20"/>
        </w:rPr>
        <w:t>The time series distribution of daily CVD deaths, DMT, DTR and RH in</w:t>
      </w:r>
      <w:r>
        <w:rPr>
          <w:rFonts w:hint="eastAsia"/>
          <w:color w:val="000000"/>
          <w:kern w:val="0"/>
          <w:sz w:val="20"/>
          <w:szCs w:val="20"/>
        </w:rPr>
        <w:t xml:space="preserve"> </w:t>
      </w:r>
      <w:r>
        <w:rPr>
          <w:color w:val="000000"/>
          <w:kern w:val="0"/>
          <w:sz w:val="20"/>
          <w:szCs w:val="20"/>
        </w:rPr>
        <w:t>Wuhu, China, from 2014 to 2020</w:t>
      </w:r>
    </w:p>
    <w:p/>
    <w:p>
      <w:r>
        <w:drawing>
          <wp:inline distT="0" distB="0" distL="0" distR="0">
            <wp:extent cx="5486400" cy="4114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3051" cy="412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b/>
          <w:bCs/>
          <w:color w:val="000000"/>
          <w:kern w:val="0"/>
          <w:sz w:val="20"/>
          <w:szCs w:val="20"/>
        </w:rPr>
        <w:t>S.Fig. 2</w:t>
      </w:r>
      <w:r>
        <w:rPr>
          <w:color w:val="000000"/>
          <w:kern w:val="0"/>
          <w:sz w:val="20"/>
          <w:szCs w:val="20"/>
        </w:rPr>
        <w:t xml:space="preserve"> </w:t>
      </w:r>
      <w:r>
        <w:rPr>
          <w:color w:val="131413"/>
          <w:kern w:val="0"/>
          <w:sz w:val="20"/>
          <w:szCs w:val="20"/>
        </w:rPr>
        <w:t>Spearman’s correlation coefficients</w:t>
      </w:r>
      <w:r>
        <w:rPr>
          <w:color w:val="000000"/>
          <w:kern w:val="0"/>
          <w:sz w:val="20"/>
          <w:szCs w:val="20"/>
        </w:rPr>
        <w:t xml:space="preserve"> between meteorological factors and atmospheric pollutants in Wuhu, China, from 2014 to 2020.</w:t>
      </w:r>
    </w:p>
    <w:p/>
    <w:p/>
    <w:p/>
    <w:p/>
    <w:p/>
    <w:p/>
    <w:p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368300</wp:posOffset>
            </wp:positionV>
            <wp:extent cx="2420620" cy="2167890"/>
            <wp:effectExtent l="0" t="0" r="0" b="381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620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2865755</wp:posOffset>
            </wp:positionH>
            <wp:positionV relativeFrom="paragraph">
              <wp:posOffset>441960</wp:posOffset>
            </wp:positionV>
            <wp:extent cx="2687955" cy="2151380"/>
            <wp:effectExtent l="0" t="0" r="0" b="127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7882" cy="215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A</w:t>
      </w:r>
    </w:p>
    <w:p>
      <w:pPr>
        <w:rPr>
          <w:b/>
          <w:bCs/>
          <w:sz w:val="20"/>
          <w:szCs w:val="20"/>
        </w:rPr>
      </w:pPr>
    </w:p>
    <w:p>
      <w:pPr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B</w:t>
      </w:r>
    </w:p>
    <w:p>
      <w:pPr>
        <w:rPr>
          <w:b/>
          <w:bCs/>
          <w:sz w:val="20"/>
          <w:szCs w:val="20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125730</wp:posOffset>
            </wp:positionV>
            <wp:extent cx="2722245" cy="2176145"/>
            <wp:effectExtent l="0" t="0" r="254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2044" cy="217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255905</wp:posOffset>
            </wp:positionH>
            <wp:positionV relativeFrom="paragraph">
              <wp:posOffset>189230</wp:posOffset>
            </wp:positionV>
            <wp:extent cx="2165985" cy="2256790"/>
            <wp:effectExtent l="0" t="0" r="5715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985" cy="2256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b/>
          <w:bCs/>
          <w:sz w:val="20"/>
          <w:szCs w:val="20"/>
        </w:rPr>
      </w:pPr>
    </w:p>
    <w:p>
      <w:pPr>
        <w:rPr>
          <w:b/>
          <w:bCs/>
          <w:sz w:val="20"/>
          <w:szCs w:val="20"/>
        </w:rPr>
      </w:pPr>
    </w:p>
    <w:p>
      <w:pPr>
        <w:rPr>
          <w:rFonts w:hint="eastAsia" w:eastAsia="SimSun"/>
          <w:sz w:val="20"/>
          <w:szCs w:val="20"/>
          <w:lang w:val="en-US" w:eastAsia="zh-CN"/>
        </w:rPr>
      </w:pPr>
      <w:bookmarkStart w:id="1" w:name="_Hlk100256466"/>
      <w:r>
        <w:rPr>
          <w:b/>
          <w:bCs/>
          <w:sz w:val="20"/>
          <w:szCs w:val="20"/>
        </w:rPr>
        <w:t>S.Fig.3</w:t>
      </w:r>
      <w:r>
        <w:rPr>
          <w:sz w:val="20"/>
          <w:szCs w:val="20"/>
        </w:rPr>
        <w:t xml:space="preserve"> </w:t>
      </w:r>
      <w:bookmarkEnd w:id="1"/>
      <w:r>
        <w:rPr>
          <w:rFonts w:hint="eastAsia"/>
          <w:sz w:val="20"/>
          <w:szCs w:val="20"/>
          <w:lang w:val="en-US" w:eastAsia="zh-CN"/>
        </w:rPr>
        <w:t xml:space="preserve">(A) </w:t>
      </w:r>
      <w:r>
        <w:rPr>
          <w:sz w:val="20"/>
          <w:szCs w:val="20"/>
        </w:rPr>
        <w:t xml:space="preserve">3D and countour plot of association between DMT and daily CVD deaths over lag 0-21 days, with </w:t>
      </w:r>
      <w:r>
        <w:rPr>
          <w:rFonts w:hint="eastAsia"/>
          <w:sz w:val="20"/>
          <w:szCs w:val="20"/>
          <w:lang w:val="en-US" w:eastAsia="zh-CN"/>
        </w:rPr>
        <w:t>D</w:t>
      </w:r>
      <w:r>
        <w:rPr>
          <w:sz w:val="20"/>
          <w:szCs w:val="20"/>
        </w:rPr>
        <w:t>MT(10℃) as the reference temperature.</w:t>
      </w:r>
      <w:r>
        <w:rPr>
          <w:rFonts w:hint="eastAsia"/>
          <w:sz w:val="20"/>
          <w:szCs w:val="20"/>
          <w:lang w:val="en-US" w:eastAsia="zh-CN"/>
        </w:rPr>
        <w:t xml:space="preserve"> (B) </w:t>
      </w:r>
      <w:r>
        <w:rPr>
          <w:sz w:val="20"/>
          <w:szCs w:val="20"/>
        </w:rPr>
        <w:t xml:space="preserve">3D and countour plot of association between </w:t>
      </w:r>
      <w:r>
        <w:rPr>
          <w:rFonts w:hint="eastAsia"/>
          <w:sz w:val="20"/>
          <w:szCs w:val="20"/>
          <w:lang w:val="en-US" w:eastAsia="zh-CN"/>
        </w:rPr>
        <w:t>DTR</w:t>
      </w:r>
      <w:r>
        <w:rPr>
          <w:sz w:val="20"/>
          <w:szCs w:val="20"/>
        </w:rPr>
        <w:t xml:space="preserve"> and daily CVD deaths over lag 0-21 days, with </w:t>
      </w:r>
      <w:r>
        <w:rPr>
          <w:rFonts w:hint="eastAsia"/>
          <w:sz w:val="20"/>
          <w:szCs w:val="20"/>
          <w:lang w:val="en-US" w:eastAsia="zh-CN"/>
        </w:rPr>
        <w:t>D</w:t>
      </w:r>
      <w:r>
        <w:rPr>
          <w:sz w:val="20"/>
          <w:szCs w:val="20"/>
        </w:rPr>
        <w:t>MT(10℃) as the reference temperature.</w:t>
      </w:r>
      <w:r>
        <w:rPr>
          <w:rFonts w:hint="eastAsia"/>
          <w:sz w:val="20"/>
          <w:szCs w:val="20"/>
          <w:lang w:val="en-US" w:eastAsia="zh-CN"/>
        </w:rPr>
        <w:t xml:space="preserve"> </w:t>
      </w:r>
    </w:p>
    <w:p>
      <w:pPr>
        <w:rPr>
          <w:sz w:val="20"/>
          <w:szCs w:val="2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sz w:val="20"/>
          <w:szCs w:val="20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476250</wp:posOffset>
            </wp:positionH>
            <wp:positionV relativeFrom="paragraph">
              <wp:posOffset>57150</wp:posOffset>
            </wp:positionV>
            <wp:extent cx="7675880" cy="3839845"/>
            <wp:effectExtent l="0" t="0" r="1270" b="825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76176" cy="383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ind w:firstLine="1004" w:firstLineChars="500"/>
        <w:rPr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S</w:t>
      </w:r>
      <w:r>
        <w:rPr>
          <w:b/>
          <w:bCs/>
          <w:sz w:val="20"/>
          <w:szCs w:val="20"/>
        </w:rPr>
        <w:t>.Fig 4</w:t>
      </w:r>
      <w:r>
        <w:rPr>
          <w:sz w:val="20"/>
          <w:szCs w:val="20"/>
        </w:rPr>
        <w:t xml:space="preserve"> </w:t>
      </w:r>
      <w:r>
        <w:rPr>
          <w:rFonts w:hint="eastAsia"/>
          <w:color w:val="000000"/>
          <w:kern w:val="0"/>
          <w:sz w:val="20"/>
          <w:szCs w:val="20"/>
        </w:rPr>
        <w:t>E</w:t>
      </w:r>
      <w:r>
        <w:rPr>
          <w:color w:val="000000"/>
          <w:kern w:val="0"/>
          <w:sz w:val="20"/>
          <w:szCs w:val="20"/>
        </w:rPr>
        <w:t>xtreme and moderate single-day lag effects of DMT and DTR on daily CVD</w:t>
      </w:r>
      <w:r>
        <w:rPr>
          <w:rFonts w:hint="eastAsia"/>
          <w:color w:val="000000"/>
          <w:kern w:val="0"/>
          <w:sz w:val="20"/>
          <w:szCs w:val="20"/>
        </w:rPr>
        <w:t xml:space="preserve"> </w:t>
      </w:r>
      <w:r>
        <w:rPr>
          <w:color w:val="000000"/>
          <w:kern w:val="0"/>
          <w:sz w:val="20"/>
          <w:szCs w:val="20"/>
        </w:rPr>
        <w:t>deaths (reference DMT 10</w:t>
      </w:r>
      <w:r>
        <w:rPr>
          <w:rFonts w:hint="eastAsia"/>
          <w:color w:val="000000"/>
          <w:kern w:val="0"/>
          <w:sz w:val="20"/>
          <w:szCs w:val="20"/>
        </w:rPr>
        <w:t>℃;</w:t>
      </w:r>
      <w:r>
        <w:rPr>
          <w:color w:val="000000"/>
          <w:kern w:val="0"/>
          <w:sz w:val="20"/>
          <w:szCs w:val="20"/>
        </w:rPr>
        <w:t xml:space="preserve"> DTR 8</w:t>
      </w:r>
      <w:r>
        <w:rPr>
          <w:rFonts w:hint="eastAsia"/>
          <w:color w:val="000000"/>
          <w:kern w:val="0"/>
          <w:sz w:val="20"/>
          <w:szCs w:val="20"/>
        </w:rPr>
        <w:t>℃</w:t>
      </w:r>
      <w:r>
        <w:rPr>
          <w:color w:val="000000"/>
          <w:kern w:val="0"/>
          <w:sz w:val="20"/>
          <w:szCs w:val="20"/>
        </w:rPr>
        <w:t>).</w:t>
      </w:r>
    </w:p>
    <w:p>
      <w:pPr>
        <w:jc w:val="center"/>
        <w:rPr>
          <w:color w:val="000000"/>
          <w:kern w:val="0"/>
          <w:sz w:val="20"/>
          <w:szCs w:val="20"/>
        </w:rPr>
      </w:pPr>
      <w:r>
        <w:rPr>
          <w:rFonts w:hint="eastAsia"/>
          <w:color w:val="000000"/>
          <w:kern w:val="0"/>
          <w:sz w:val="20"/>
          <w:szCs w:val="20"/>
        </w:rPr>
        <w:t>E</w:t>
      </w:r>
      <w:r>
        <w:rPr>
          <w:color w:val="000000"/>
          <w:kern w:val="0"/>
          <w:sz w:val="20"/>
          <w:szCs w:val="20"/>
        </w:rPr>
        <w:t>xtreme and moderate cold: the 2.5</w:t>
      </w:r>
      <w:r>
        <w:rPr>
          <w:color w:val="000000"/>
          <w:kern w:val="0"/>
          <w:sz w:val="20"/>
          <w:szCs w:val="20"/>
          <w:vertAlign w:val="superscript"/>
        </w:rPr>
        <w:t>th</w:t>
      </w:r>
      <w:r>
        <w:rPr>
          <w:color w:val="000000"/>
          <w:kern w:val="0"/>
          <w:sz w:val="20"/>
          <w:szCs w:val="20"/>
        </w:rPr>
        <w:t xml:space="preserve"> and 10</w:t>
      </w:r>
      <w:r>
        <w:rPr>
          <w:color w:val="000000"/>
          <w:kern w:val="0"/>
          <w:sz w:val="20"/>
          <w:szCs w:val="20"/>
          <w:vertAlign w:val="superscript"/>
        </w:rPr>
        <w:t>th</w:t>
      </w:r>
      <w:r>
        <w:rPr>
          <w:color w:val="000000"/>
          <w:kern w:val="0"/>
          <w:sz w:val="20"/>
          <w:szCs w:val="20"/>
        </w:rPr>
        <w:t xml:space="preserve"> percentile of DMT;</w:t>
      </w:r>
      <w:r>
        <w:rPr>
          <w:rFonts w:hint="eastAsia"/>
          <w:sz w:val="20"/>
          <w:szCs w:val="20"/>
        </w:rPr>
        <w:t xml:space="preserve"> </w:t>
      </w:r>
      <w:r>
        <w:rPr>
          <w:color w:val="000000"/>
          <w:kern w:val="0"/>
          <w:sz w:val="20"/>
          <w:szCs w:val="20"/>
        </w:rPr>
        <w:t>extreme and moderate heat: the 97.5</w:t>
      </w:r>
      <w:r>
        <w:rPr>
          <w:color w:val="000000"/>
          <w:kern w:val="0"/>
          <w:sz w:val="20"/>
          <w:szCs w:val="20"/>
          <w:vertAlign w:val="superscript"/>
        </w:rPr>
        <w:t>th</w:t>
      </w:r>
      <w:r>
        <w:rPr>
          <w:color w:val="000000"/>
          <w:kern w:val="0"/>
          <w:sz w:val="20"/>
          <w:szCs w:val="20"/>
        </w:rPr>
        <w:t xml:space="preserve"> and 90</w:t>
      </w:r>
      <w:r>
        <w:rPr>
          <w:color w:val="000000"/>
          <w:kern w:val="0"/>
          <w:sz w:val="20"/>
          <w:szCs w:val="20"/>
          <w:vertAlign w:val="superscript"/>
        </w:rPr>
        <w:t>th</w:t>
      </w:r>
      <w:r>
        <w:rPr>
          <w:color w:val="000000"/>
          <w:kern w:val="0"/>
          <w:sz w:val="20"/>
          <w:szCs w:val="20"/>
        </w:rPr>
        <w:t xml:space="preserve"> percentile of DMT</w:t>
      </w:r>
    </w:p>
    <w:p>
      <w:pPr>
        <w:jc w:val="center"/>
        <w:rPr>
          <w:sz w:val="20"/>
          <w:szCs w:val="20"/>
        </w:rPr>
      </w:pPr>
      <w:r>
        <w:rPr>
          <w:rFonts w:hint="eastAsia"/>
          <w:color w:val="000000"/>
          <w:kern w:val="0"/>
          <w:sz w:val="20"/>
          <w:szCs w:val="20"/>
        </w:rPr>
        <w:t>E</w:t>
      </w:r>
      <w:r>
        <w:rPr>
          <w:color w:val="000000"/>
          <w:kern w:val="0"/>
          <w:sz w:val="20"/>
          <w:szCs w:val="20"/>
        </w:rPr>
        <w:t>xtreme and moderate low: the 2.5</w:t>
      </w:r>
      <w:r>
        <w:rPr>
          <w:color w:val="000000"/>
          <w:kern w:val="0"/>
          <w:sz w:val="20"/>
          <w:szCs w:val="20"/>
          <w:vertAlign w:val="superscript"/>
        </w:rPr>
        <w:t>th</w:t>
      </w:r>
      <w:r>
        <w:rPr>
          <w:color w:val="000000"/>
          <w:kern w:val="0"/>
          <w:sz w:val="20"/>
          <w:szCs w:val="20"/>
        </w:rPr>
        <w:t xml:space="preserve"> and 10</w:t>
      </w:r>
      <w:r>
        <w:rPr>
          <w:color w:val="000000"/>
          <w:kern w:val="0"/>
          <w:sz w:val="20"/>
          <w:szCs w:val="20"/>
          <w:vertAlign w:val="superscript"/>
        </w:rPr>
        <w:t>th</w:t>
      </w:r>
      <w:r>
        <w:rPr>
          <w:color w:val="000000"/>
          <w:kern w:val="0"/>
          <w:sz w:val="20"/>
          <w:szCs w:val="20"/>
        </w:rPr>
        <w:t xml:space="preserve"> percentile of DTR;</w:t>
      </w:r>
      <w:r>
        <w:rPr>
          <w:rFonts w:hint="eastAsia"/>
          <w:sz w:val="20"/>
          <w:szCs w:val="20"/>
        </w:rPr>
        <w:t xml:space="preserve"> </w:t>
      </w:r>
      <w:r>
        <w:rPr>
          <w:color w:val="000000"/>
          <w:kern w:val="0"/>
          <w:sz w:val="20"/>
          <w:szCs w:val="20"/>
        </w:rPr>
        <w:t>extreme and moderate HIGH: the 97.5</w:t>
      </w:r>
      <w:r>
        <w:rPr>
          <w:color w:val="000000"/>
          <w:kern w:val="0"/>
          <w:sz w:val="20"/>
          <w:szCs w:val="20"/>
          <w:vertAlign w:val="superscript"/>
        </w:rPr>
        <w:t>th</w:t>
      </w:r>
      <w:r>
        <w:rPr>
          <w:color w:val="000000"/>
          <w:kern w:val="0"/>
          <w:sz w:val="20"/>
          <w:szCs w:val="20"/>
        </w:rPr>
        <w:t xml:space="preserve"> and 90</w:t>
      </w:r>
      <w:r>
        <w:rPr>
          <w:color w:val="000000"/>
          <w:kern w:val="0"/>
          <w:sz w:val="20"/>
          <w:szCs w:val="20"/>
          <w:vertAlign w:val="superscript"/>
        </w:rPr>
        <w:t>th</w:t>
      </w:r>
      <w:r>
        <w:rPr>
          <w:color w:val="000000"/>
          <w:kern w:val="0"/>
          <w:sz w:val="20"/>
          <w:szCs w:val="20"/>
        </w:rPr>
        <w:t xml:space="preserve"> percentile of DTR</w:t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57150</wp:posOffset>
            </wp:positionV>
            <wp:extent cx="8174990" cy="4089400"/>
            <wp:effectExtent l="0" t="0" r="0" b="635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74863" cy="408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b/>
          <w:bCs/>
          <w:sz w:val="20"/>
          <w:szCs w:val="20"/>
        </w:rPr>
      </w:pPr>
    </w:p>
    <w:p>
      <w:pPr>
        <w:rPr>
          <w:b/>
          <w:bCs/>
          <w:sz w:val="20"/>
          <w:szCs w:val="20"/>
        </w:rPr>
      </w:pPr>
    </w:p>
    <w:p>
      <w:pPr>
        <w:jc w:val="center"/>
        <w:rPr>
          <w:b/>
          <w:bCs/>
          <w:sz w:val="20"/>
          <w:szCs w:val="20"/>
        </w:rPr>
      </w:pPr>
    </w:p>
    <w:p>
      <w:pPr>
        <w:jc w:val="center"/>
        <w:rPr>
          <w:b/>
          <w:bCs/>
          <w:sz w:val="20"/>
          <w:szCs w:val="20"/>
        </w:rPr>
      </w:pPr>
    </w:p>
    <w:p>
      <w:pPr>
        <w:jc w:val="center"/>
        <w:rPr>
          <w:b/>
          <w:bCs/>
          <w:sz w:val="20"/>
          <w:szCs w:val="20"/>
        </w:rPr>
      </w:pPr>
    </w:p>
    <w:p>
      <w:pPr>
        <w:jc w:val="center"/>
        <w:rPr>
          <w:color w:val="000000"/>
          <w:kern w:val="0"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S</w:t>
      </w:r>
      <w:r>
        <w:rPr>
          <w:b/>
          <w:bCs/>
          <w:sz w:val="20"/>
          <w:szCs w:val="20"/>
        </w:rPr>
        <w:t>.Fig 5</w:t>
      </w:r>
      <w:r>
        <w:rPr>
          <w:sz w:val="20"/>
          <w:szCs w:val="20"/>
        </w:rPr>
        <w:t xml:space="preserve"> </w:t>
      </w:r>
      <w:r>
        <w:rPr>
          <w:rFonts w:hint="eastAsia"/>
          <w:color w:val="000000"/>
          <w:kern w:val="0"/>
          <w:sz w:val="20"/>
          <w:szCs w:val="20"/>
        </w:rPr>
        <w:t>E</w:t>
      </w:r>
      <w:r>
        <w:rPr>
          <w:color w:val="000000"/>
          <w:kern w:val="0"/>
          <w:sz w:val="20"/>
          <w:szCs w:val="20"/>
        </w:rPr>
        <w:t>xtreme and moderate cumulative lag effects of DMT and DTR on daily CVD</w:t>
      </w:r>
      <w:r>
        <w:rPr>
          <w:rFonts w:hint="eastAsia"/>
          <w:color w:val="000000"/>
          <w:kern w:val="0"/>
          <w:sz w:val="20"/>
          <w:szCs w:val="20"/>
        </w:rPr>
        <w:t xml:space="preserve"> </w:t>
      </w:r>
      <w:r>
        <w:rPr>
          <w:color w:val="000000"/>
          <w:kern w:val="0"/>
          <w:sz w:val="20"/>
          <w:szCs w:val="20"/>
        </w:rPr>
        <w:t>deaths (reference DMT 10</w:t>
      </w:r>
      <w:r>
        <w:rPr>
          <w:rFonts w:hint="eastAsia"/>
          <w:color w:val="000000"/>
          <w:kern w:val="0"/>
          <w:sz w:val="20"/>
          <w:szCs w:val="20"/>
        </w:rPr>
        <w:t>℃;</w:t>
      </w:r>
      <w:r>
        <w:rPr>
          <w:color w:val="000000"/>
          <w:kern w:val="0"/>
          <w:sz w:val="20"/>
          <w:szCs w:val="20"/>
        </w:rPr>
        <w:t xml:space="preserve"> DTR 8</w:t>
      </w:r>
      <w:r>
        <w:rPr>
          <w:rFonts w:hint="eastAsia"/>
          <w:color w:val="000000"/>
          <w:kern w:val="0"/>
          <w:sz w:val="20"/>
          <w:szCs w:val="20"/>
        </w:rPr>
        <w:t>℃</w:t>
      </w:r>
      <w:r>
        <w:rPr>
          <w:color w:val="000000"/>
          <w:kern w:val="0"/>
          <w:sz w:val="20"/>
          <w:szCs w:val="20"/>
        </w:rPr>
        <w:t>).</w:t>
      </w:r>
    </w:p>
    <w:p>
      <w:pPr>
        <w:jc w:val="center"/>
        <w:rPr>
          <w:color w:val="000000"/>
          <w:kern w:val="0"/>
          <w:sz w:val="20"/>
          <w:szCs w:val="20"/>
        </w:rPr>
      </w:pPr>
      <w:r>
        <w:rPr>
          <w:rFonts w:hint="eastAsia"/>
          <w:color w:val="000000"/>
          <w:kern w:val="0"/>
          <w:sz w:val="20"/>
          <w:szCs w:val="20"/>
        </w:rPr>
        <w:t>E</w:t>
      </w:r>
      <w:r>
        <w:rPr>
          <w:color w:val="000000"/>
          <w:kern w:val="0"/>
          <w:sz w:val="20"/>
          <w:szCs w:val="20"/>
        </w:rPr>
        <w:t>xtreme and moderate cold: the 2.5</w:t>
      </w:r>
      <w:r>
        <w:rPr>
          <w:color w:val="000000"/>
          <w:kern w:val="0"/>
          <w:sz w:val="20"/>
          <w:szCs w:val="20"/>
          <w:vertAlign w:val="superscript"/>
        </w:rPr>
        <w:t>th</w:t>
      </w:r>
      <w:r>
        <w:rPr>
          <w:color w:val="000000"/>
          <w:kern w:val="0"/>
          <w:sz w:val="20"/>
          <w:szCs w:val="20"/>
        </w:rPr>
        <w:t xml:space="preserve"> and 10</w:t>
      </w:r>
      <w:r>
        <w:rPr>
          <w:color w:val="000000"/>
          <w:kern w:val="0"/>
          <w:sz w:val="20"/>
          <w:szCs w:val="20"/>
          <w:vertAlign w:val="superscript"/>
        </w:rPr>
        <w:t>th</w:t>
      </w:r>
      <w:r>
        <w:rPr>
          <w:color w:val="000000"/>
          <w:kern w:val="0"/>
          <w:sz w:val="20"/>
          <w:szCs w:val="20"/>
        </w:rPr>
        <w:t xml:space="preserve"> percentile of DMT;</w:t>
      </w:r>
      <w:r>
        <w:rPr>
          <w:rFonts w:hint="eastAsia"/>
          <w:sz w:val="20"/>
          <w:szCs w:val="20"/>
        </w:rPr>
        <w:t xml:space="preserve"> </w:t>
      </w:r>
      <w:r>
        <w:rPr>
          <w:color w:val="000000"/>
          <w:kern w:val="0"/>
          <w:sz w:val="20"/>
          <w:szCs w:val="20"/>
        </w:rPr>
        <w:t>extreme and moderate heat: the 97.5</w:t>
      </w:r>
      <w:r>
        <w:rPr>
          <w:color w:val="000000"/>
          <w:kern w:val="0"/>
          <w:sz w:val="20"/>
          <w:szCs w:val="20"/>
          <w:vertAlign w:val="superscript"/>
        </w:rPr>
        <w:t>th</w:t>
      </w:r>
      <w:r>
        <w:rPr>
          <w:color w:val="000000"/>
          <w:kern w:val="0"/>
          <w:sz w:val="20"/>
          <w:szCs w:val="20"/>
        </w:rPr>
        <w:t xml:space="preserve"> and 90</w:t>
      </w:r>
      <w:r>
        <w:rPr>
          <w:color w:val="000000"/>
          <w:kern w:val="0"/>
          <w:sz w:val="20"/>
          <w:szCs w:val="20"/>
          <w:vertAlign w:val="superscript"/>
        </w:rPr>
        <w:t>th</w:t>
      </w:r>
      <w:r>
        <w:rPr>
          <w:color w:val="000000"/>
          <w:kern w:val="0"/>
          <w:sz w:val="20"/>
          <w:szCs w:val="20"/>
        </w:rPr>
        <w:t xml:space="preserve"> percentile of DMT</w:t>
      </w:r>
    </w:p>
    <w:p>
      <w:pPr>
        <w:jc w:val="center"/>
        <w:rPr>
          <w:rFonts w:hint="default" w:eastAsia="SimSun"/>
          <w:color w:val="000000"/>
          <w:kern w:val="0"/>
          <w:sz w:val="20"/>
          <w:szCs w:val="20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81" w:charSpace="0"/>
        </w:sectPr>
      </w:pPr>
      <w:r>
        <w:rPr>
          <w:rFonts w:hint="eastAsia"/>
          <w:color w:val="000000"/>
          <w:kern w:val="0"/>
          <w:sz w:val="20"/>
          <w:szCs w:val="20"/>
        </w:rPr>
        <w:t>E</w:t>
      </w:r>
      <w:r>
        <w:rPr>
          <w:color w:val="000000"/>
          <w:kern w:val="0"/>
          <w:sz w:val="20"/>
          <w:szCs w:val="20"/>
        </w:rPr>
        <w:t>xtreme and moderate low: the 2.5</w:t>
      </w:r>
      <w:r>
        <w:rPr>
          <w:color w:val="000000"/>
          <w:kern w:val="0"/>
          <w:sz w:val="20"/>
          <w:szCs w:val="20"/>
          <w:vertAlign w:val="superscript"/>
        </w:rPr>
        <w:t>th</w:t>
      </w:r>
      <w:r>
        <w:rPr>
          <w:color w:val="000000"/>
          <w:kern w:val="0"/>
          <w:sz w:val="20"/>
          <w:szCs w:val="20"/>
        </w:rPr>
        <w:t xml:space="preserve"> and 10</w:t>
      </w:r>
      <w:r>
        <w:rPr>
          <w:color w:val="000000"/>
          <w:kern w:val="0"/>
          <w:sz w:val="20"/>
          <w:szCs w:val="20"/>
          <w:vertAlign w:val="superscript"/>
        </w:rPr>
        <w:t>th</w:t>
      </w:r>
      <w:r>
        <w:rPr>
          <w:color w:val="000000"/>
          <w:kern w:val="0"/>
          <w:sz w:val="20"/>
          <w:szCs w:val="20"/>
        </w:rPr>
        <w:t xml:space="preserve"> percentile of DTR;</w:t>
      </w:r>
      <w:r>
        <w:rPr>
          <w:rFonts w:hint="eastAsia"/>
          <w:sz w:val="20"/>
          <w:szCs w:val="20"/>
        </w:rPr>
        <w:t xml:space="preserve"> </w:t>
      </w:r>
      <w:r>
        <w:rPr>
          <w:color w:val="000000"/>
          <w:kern w:val="0"/>
          <w:sz w:val="20"/>
          <w:szCs w:val="20"/>
        </w:rPr>
        <w:t>extreme and moderate HIGH: the 97.5</w:t>
      </w:r>
      <w:r>
        <w:rPr>
          <w:color w:val="000000"/>
          <w:kern w:val="0"/>
          <w:sz w:val="20"/>
          <w:szCs w:val="20"/>
          <w:vertAlign w:val="superscript"/>
        </w:rPr>
        <w:t>th</w:t>
      </w:r>
      <w:r>
        <w:rPr>
          <w:color w:val="000000"/>
          <w:kern w:val="0"/>
          <w:sz w:val="20"/>
          <w:szCs w:val="20"/>
        </w:rPr>
        <w:t xml:space="preserve"> and 90</w:t>
      </w:r>
      <w:r>
        <w:rPr>
          <w:color w:val="000000"/>
          <w:kern w:val="0"/>
          <w:sz w:val="20"/>
          <w:szCs w:val="20"/>
          <w:vertAlign w:val="superscript"/>
        </w:rPr>
        <w:t>th</w:t>
      </w:r>
      <w:r>
        <w:rPr>
          <w:color w:val="000000"/>
          <w:kern w:val="0"/>
          <w:sz w:val="20"/>
          <w:szCs w:val="20"/>
        </w:rPr>
        <w:t xml:space="preserve"> percentile of D</w:t>
      </w:r>
      <w:r>
        <w:rPr>
          <w:rFonts w:hint="eastAsia"/>
          <w:color w:val="000000"/>
          <w:kern w:val="0"/>
          <w:sz w:val="20"/>
          <w:szCs w:val="20"/>
          <w:lang w:val="en-US" w:eastAsia="zh-CN"/>
        </w:rPr>
        <w:t>TR</w:t>
      </w:r>
    </w:p>
    <w:p>
      <w:pPr>
        <w:rPr>
          <w:sz w:val="20"/>
          <w:szCs w:val="20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-571500</wp:posOffset>
            </wp:positionH>
            <wp:positionV relativeFrom="paragraph">
              <wp:posOffset>57785</wp:posOffset>
            </wp:positionV>
            <wp:extent cx="6620510" cy="2169795"/>
            <wp:effectExtent l="0" t="0" r="0" b="254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0510" cy="216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jc w:val="left"/>
        <w:rPr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S</w:t>
      </w:r>
      <w:r>
        <w:rPr>
          <w:b/>
          <w:bCs/>
          <w:sz w:val="20"/>
          <w:szCs w:val="20"/>
        </w:rPr>
        <w:t xml:space="preserve">.Fig 6 </w:t>
      </w:r>
      <w:r>
        <w:rPr>
          <w:b w:val="0"/>
          <w:bCs w:val="0"/>
          <w:sz w:val="20"/>
          <w:szCs w:val="20"/>
        </w:rPr>
        <w:t>C</w:t>
      </w:r>
      <w:r>
        <w:rPr>
          <w:rFonts w:hint="eastAsia"/>
          <w:b w:val="0"/>
          <w:bCs w:val="0"/>
          <w:sz w:val="20"/>
          <w:szCs w:val="20"/>
        </w:rPr>
        <w:t>u</w:t>
      </w:r>
      <w:r>
        <w:rPr>
          <w:b w:val="0"/>
          <w:bCs w:val="0"/>
          <w:sz w:val="20"/>
          <w:szCs w:val="20"/>
        </w:rPr>
        <w:t>mulative exposure-response relationship over a lag of (A) 18, (B) 25 and (C) 30 days, respectively.</w:t>
      </w:r>
    </w:p>
    <w:p>
      <w:pPr>
        <w:rPr>
          <w:sz w:val="20"/>
          <w:szCs w:val="20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-609600</wp:posOffset>
            </wp:positionH>
            <wp:positionV relativeFrom="paragraph">
              <wp:posOffset>100965</wp:posOffset>
            </wp:positionV>
            <wp:extent cx="6610350" cy="2131060"/>
            <wp:effectExtent l="0" t="0" r="0" b="254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2131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jc w:val="left"/>
        <w:rPr>
          <w:b/>
          <w:bCs/>
          <w:sz w:val="20"/>
          <w:szCs w:val="20"/>
        </w:rPr>
      </w:pPr>
    </w:p>
    <w:p>
      <w:pPr>
        <w:jc w:val="left"/>
        <w:rPr>
          <w:b/>
          <w:bCs/>
          <w:sz w:val="20"/>
          <w:szCs w:val="20"/>
        </w:rPr>
      </w:pPr>
    </w:p>
    <w:p>
      <w:pPr>
        <w:jc w:val="left"/>
        <w:rPr>
          <w:b w:val="0"/>
          <w:bCs w:val="0"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S</w:t>
      </w:r>
      <w:r>
        <w:rPr>
          <w:b/>
          <w:bCs/>
          <w:sz w:val="20"/>
          <w:szCs w:val="20"/>
        </w:rPr>
        <w:t xml:space="preserve">.Fig 7 </w:t>
      </w:r>
      <w:r>
        <w:rPr>
          <w:b w:val="0"/>
          <w:bCs w:val="0"/>
          <w:sz w:val="20"/>
          <w:szCs w:val="20"/>
        </w:rPr>
        <w:t>C</w:t>
      </w:r>
      <w:r>
        <w:rPr>
          <w:rFonts w:hint="eastAsia"/>
          <w:b w:val="0"/>
          <w:bCs w:val="0"/>
          <w:sz w:val="20"/>
          <w:szCs w:val="20"/>
        </w:rPr>
        <w:t>u</w:t>
      </w:r>
      <w:r>
        <w:rPr>
          <w:b w:val="0"/>
          <w:bCs w:val="0"/>
          <w:sz w:val="20"/>
          <w:szCs w:val="20"/>
        </w:rPr>
        <w:t>mulative exposure-response relationship over a lag of 21 days, using (D) 6, (E) 7 and (F) 8 df per year for time, respectively.</w:t>
      </w:r>
    </w:p>
    <w:p>
      <w:pPr>
        <w:rPr>
          <w:sz w:val="20"/>
          <w:szCs w:val="20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-590550</wp:posOffset>
            </wp:positionH>
            <wp:positionV relativeFrom="paragraph">
              <wp:posOffset>201295</wp:posOffset>
            </wp:positionV>
            <wp:extent cx="6623050" cy="2183130"/>
            <wp:effectExtent l="0" t="0" r="6350" b="762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138" cy="219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jc w:val="left"/>
        <w:rPr>
          <w:b/>
          <w:bCs/>
          <w:sz w:val="20"/>
          <w:szCs w:val="20"/>
        </w:rPr>
      </w:pPr>
    </w:p>
    <w:p>
      <w:pPr>
        <w:jc w:val="left"/>
        <w:rPr>
          <w:b/>
          <w:bCs/>
          <w:sz w:val="20"/>
          <w:szCs w:val="20"/>
        </w:rPr>
      </w:pPr>
    </w:p>
    <w:p>
      <w:pPr>
        <w:jc w:val="left"/>
        <w:rPr>
          <w:b/>
          <w:bCs/>
          <w:sz w:val="20"/>
          <w:szCs w:val="20"/>
        </w:rPr>
      </w:pPr>
    </w:p>
    <w:p>
      <w:pPr>
        <w:jc w:val="left"/>
        <w:rPr>
          <w:b w:val="0"/>
          <w:bCs w:val="0"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S</w:t>
      </w:r>
      <w:r>
        <w:rPr>
          <w:b/>
          <w:bCs/>
          <w:sz w:val="20"/>
          <w:szCs w:val="20"/>
        </w:rPr>
        <w:t xml:space="preserve">.Fig 8 </w:t>
      </w:r>
      <w:r>
        <w:rPr>
          <w:b w:val="0"/>
          <w:bCs w:val="0"/>
          <w:sz w:val="20"/>
          <w:szCs w:val="20"/>
        </w:rPr>
        <w:t>C</w:t>
      </w:r>
      <w:r>
        <w:rPr>
          <w:rFonts w:hint="eastAsia"/>
          <w:b w:val="0"/>
          <w:bCs w:val="0"/>
          <w:sz w:val="20"/>
          <w:szCs w:val="20"/>
        </w:rPr>
        <w:t>u</w:t>
      </w:r>
      <w:r>
        <w:rPr>
          <w:b w:val="0"/>
          <w:bCs w:val="0"/>
          <w:sz w:val="20"/>
          <w:szCs w:val="20"/>
        </w:rPr>
        <w:t>mulative exposure-response relationship over a lag of 21 days, using (G) 3, (H) 4 and (I) 5 df for daily mean temperature, respectively.</w:t>
      </w:r>
    </w:p>
    <w:p>
      <w:pPr>
        <w:rPr>
          <w:sz w:val="20"/>
          <w:szCs w:val="20"/>
        </w:rPr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62865</wp:posOffset>
            </wp:positionV>
            <wp:extent cx="6648450" cy="2171700"/>
            <wp:effectExtent l="0" t="0" r="0" b="635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2171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jc w:val="left"/>
        <w:rPr>
          <w:sz w:val="20"/>
          <w:szCs w:val="20"/>
          <w:highlight w:val="none"/>
        </w:rPr>
      </w:pPr>
      <w:r>
        <w:rPr>
          <w:rFonts w:hint="eastAsia"/>
          <w:b/>
          <w:bCs/>
          <w:sz w:val="20"/>
          <w:szCs w:val="20"/>
          <w:highlight w:val="none"/>
        </w:rPr>
        <w:t>S</w:t>
      </w:r>
      <w:r>
        <w:rPr>
          <w:b/>
          <w:bCs/>
          <w:sz w:val="20"/>
          <w:szCs w:val="20"/>
          <w:highlight w:val="none"/>
        </w:rPr>
        <w:t xml:space="preserve">.Fig 9 </w:t>
      </w:r>
      <w:r>
        <w:rPr>
          <w:b w:val="0"/>
          <w:bCs w:val="0"/>
          <w:sz w:val="20"/>
          <w:szCs w:val="20"/>
          <w:highlight w:val="none"/>
        </w:rPr>
        <w:t>C</w:t>
      </w:r>
      <w:r>
        <w:rPr>
          <w:rFonts w:hint="eastAsia"/>
          <w:b w:val="0"/>
          <w:bCs w:val="0"/>
          <w:sz w:val="20"/>
          <w:szCs w:val="20"/>
          <w:highlight w:val="none"/>
        </w:rPr>
        <w:t>u</w:t>
      </w:r>
      <w:r>
        <w:rPr>
          <w:b w:val="0"/>
          <w:bCs w:val="0"/>
          <w:sz w:val="20"/>
          <w:szCs w:val="20"/>
          <w:highlight w:val="none"/>
        </w:rPr>
        <w:t>mulative exposure-response relationship over a lag of (a) 18, (b) 25 and (c) 30 days, respectively.</w:t>
      </w:r>
    </w:p>
    <w:p>
      <w:pPr>
        <w:rPr>
          <w:sz w:val="20"/>
          <w:szCs w:val="20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55880</wp:posOffset>
            </wp:positionV>
            <wp:extent cx="6666865" cy="2146300"/>
            <wp:effectExtent l="0" t="0" r="1270" b="635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6855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jc w:val="left"/>
        <w:rPr>
          <w:b/>
          <w:bCs/>
          <w:sz w:val="20"/>
          <w:szCs w:val="20"/>
          <w:highlight w:val="yellow"/>
        </w:rPr>
      </w:pPr>
    </w:p>
    <w:p>
      <w:pPr>
        <w:jc w:val="left"/>
        <w:rPr>
          <w:b w:val="0"/>
          <w:bCs w:val="0"/>
          <w:sz w:val="20"/>
          <w:szCs w:val="20"/>
          <w:highlight w:val="none"/>
        </w:rPr>
      </w:pPr>
      <w:r>
        <w:rPr>
          <w:rFonts w:hint="eastAsia"/>
          <w:b/>
          <w:bCs/>
          <w:sz w:val="20"/>
          <w:szCs w:val="20"/>
          <w:highlight w:val="none"/>
        </w:rPr>
        <w:t>S</w:t>
      </w:r>
      <w:r>
        <w:rPr>
          <w:b/>
          <w:bCs/>
          <w:sz w:val="20"/>
          <w:szCs w:val="20"/>
          <w:highlight w:val="none"/>
        </w:rPr>
        <w:t xml:space="preserve">.Fig 10 </w:t>
      </w:r>
      <w:r>
        <w:rPr>
          <w:b w:val="0"/>
          <w:bCs w:val="0"/>
          <w:sz w:val="20"/>
          <w:szCs w:val="20"/>
          <w:highlight w:val="none"/>
        </w:rPr>
        <w:t>C</w:t>
      </w:r>
      <w:r>
        <w:rPr>
          <w:rFonts w:hint="eastAsia"/>
          <w:b w:val="0"/>
          <w:bCs w:val="0"/>
          <w:sz w:val="20"/>
          <w:szCs w:val="20"/>
          <w:highlight w:val="none"/>
        </w:rPr>
        <w:t>u</w:t>
      </w:r>
      <w:r>
        <w:rPr>
          <w:b w:val="0"/>
          <w:bCs w:val="0"/>
          <w:sz w:val="20"/>
          <w:szCs w:val="20"/>
          <w:highlight w:val="none"/>
        </w:rPr>
        <w:t>mulative exposure-response relationship over a lag of 21 days, using (d) 6, (e) 7 and (f) 8 df per year for time, respectively.</w:t>
      </w:r>
    </w:p>
    <w:p>
      <w:pPr>
        <w:rPr>
          <w:sz w:val="20"/>
          <w:szCs w:val="20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-590550</wp:posOffset>
            </wp:positionH>
            <wp:positionV relativeFrom="paragraph">
              <wp:posOffset>194945</wp:posOffset>
            </wp:positionV>
            <wp:extent cx="6512560" cy="2127250"/>
            <wp:effectExtent l="0" t="0" r="2540" b="635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4394" cy="2131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jc w:val="left"/>
        <w:rPr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S</w:t>
      </w:r>
      <w:r>
        <w:rPr>
          <w:b/>
          <w:bCs/>
          <w:sz w:val="20"/>
          <w:szCs w:val="20"/>
        </w:rPr>
        <w:t xml:space="preserve">.Fig 11 </w:t>
      </w:r>
      <w:r>
        <w:rPr>
          <w:b w:val="0"/>
          <w:bCs w:val="0"/>
          <w:sz w:val="20"/>
          <w:szCs w:val="20"/>
        </w:rPr>
        <w:t>C</w:t>
      </w:r>
      <w:r>
        <w:rPr>
          <w:rFonts w:hint="eastAsia"/>
          <w:b w:val="0"/>
          <w:bCs w:val="0"/>
          <w:sz w:val="20"/>
          <w:szCs w:val="20"/>
        </w:rPr>
        <w:t>u</w:t>
      </w:r>
      <w:r>
        <w:rPr>
          <w:b w:val="0"/>
          <w:bCs w:val="0"/>
          <w:sz w:val="20"/>
          <w:szCs w:val="20"/>
        </w:rPr>
        <w:t xml:space="preserve">mulative exposure-response relationship over a lag of 21 days, using (g) 3, (h) 4 and (i) </w:t>
      </w:r>
      <w:r>
        <w:rPr>
          <w:b w:val="0"/>
          <w:bCs w:val="0"/>
          <w:sz w:val="20"/>
          <w:szCs w:val="20"/>
          <w:highlight w:val="none"/>
        </w:rPr>
        <w:t>5 df for diurnal temperature range, respectively</w:t>
      </w:r>
      <w:r>
        <w:rPr>
          <w:b w:val="0"/>
          <w:bCs w:val="0"/>
          <w:sz w:val="20"/>
          <w:szCs w:val="20"/>
        </w:rPr>
        <w:t>.</w:t>
      </w:r>
    </w:p>
    <w:p>
      <w:pPr>
        <w:spacing w:line="20" w:lineRule="exact"/>
        <w:rPr>
          <w:sz w:val="20"/>
          <w:szCs w:val="20"/>
        </w:rPr>
      </w:pPr>
    </w:p>
    <w:p>
      <w:pPr>
        <w:rPr>
          <w:sz w:val="20"/>
          <w:szCs w:val="2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81" w:charSpace="0"/>
        </w:sectPr>
      </w:pPr>
    </w:p>
    <w:p>
      <w:pPr>
        <w:jc w:val="left"/>
        <w:rPr>
          <w:sz w:val="20"/>
          <w:szCs w:val="20"/>
        </w:rPr>
      </w:pPr>
      <w:r>
        <w:rPr>
          <w:b/>
          <w:bCs/>
          <w:sz w:val="20"/>
          <w:szCs w:val="20"/>
        </w:rPr>
        <w:t>S.</w:t>
      </w:r>
      <w:r>
        <w:rPr>
          <w:rFonts w:hint="eastAsia"/>
          <w:b/>
          <w:bCs/>
          <w:sz w:val="20"/>
          <w:szCs w:val="20"/>
        </w:rPr>
        <w:t>T</w:t>
      </w:r>
      <w:r>
        <w:rPr>
          <w:b/>
          <w:bCs/>
          <w:sz w:val="20"/>
          <w:szCs w:val="20"/>
        </w:rPr>
        <w:t>able1</w:t>
      </w:r>
      <w:r>
        <w:rPr>
          <w:rFonts w:hint="eastAsia"/>
          <w:b/>
          <w:bCs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T</w:t>
      </w:r>
      <w:r>
        <w:rPr>
          <w:sz w:val="20"/>
          <w:szCs w:val="20"/>
        </w:rPr>
        <w:t xml:space="preserve">he overall lag-cumulative exposure-response relationship between DMT and the mortality of CVD </w:t>
      </w:r>
    </w:p>
    <w:tbl>
      <w:tblPr>
        <w:tblStyle w:val="7"/>
        <w:tblW w:w="7088" w:type="dxa"/>
        <w:tblInd w:w="567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410"/>
        <w:gridCol w:w="1134"/>
        <w:gridCol w:w="241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MT</w:t>
            </w:r>
            <w:r>
              <w:rPr>
                <w:rFonts w:hint="eastAsia"/>
                <w:sz w:val="20"/>
                <w:szCs w:val="20"/>
              </w:rPr>
              <w:t xml:space="preserve"> (℃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umulative RR</w:t>
            </w:r>
            <w:r>
              <w:rPr>
                <w:rFonts w:hint="eastAsia"/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95%CI)</w:t>
            </w:r>
          </w:p>
        </w:tc>
        <w:tc>
          <w:tcPr>
            <w:tcW w:w="1134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DMT</w:t>
            </w:r>
            <w:r>
              <w:rPr>
                <w:rFonts w:hint="eastAsia"/>
                <w:sz w:val="20"/>
                <w:szCs w:val="20"/>
              </w:rPr>
              <w:t xml:space="preserve"> (℃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umulative RR</w:t>
            </w: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95% CI)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-7</w:t>
            </w:r>
          </w:p>
        </w:tc>
        <w:tc>
          <w:tcPr>
            <w:tcW w:w="2410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1.636 (1.268, 2.112)*</w:t>
            </w:r>
          </w:p>
        </w:tc>
        <w:tc>
          <w:tcPr>
            <w:tcW w:w="1134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410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1.083 (1.005, 1.167)*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1.565 (1.235, 1.983)*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1.114 (1.016, 1.222)*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-5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1.498 (1.204, 1.863)*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1.149 (1.029, 1.282)*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1.434 (1.173, 1.752)*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1.185 (1.043, 1.346)*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-3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1.374 (1.144, 1.650)*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1.221 (1.057, 1.411)*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-2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1.319 (1.117, 1.557)*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1.257 (1.071, 1.476)*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1.267 (1.092, 1.471)*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1.291 (1.084, 1.538)*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1.220 (1.068, 1.394)*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1.320 (1.094, 1.594)*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eastAsia="DengXi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1.178 (1.047, 1.325)*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1.344 (1.101, 1.641)*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1.140 (1.029, 1.263)*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1.361 (1.105, 1.678)*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1.106 (1.013, 1.209)*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1.372 (1.105, 1.704)*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eastAsia="DengXi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1.077 (0.999, 1.161)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1.378 (1.103, 1.721)*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1.053 (0.989, 1.120)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1.378 (1.097, 1.730)*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1.032 (0.983, 1.085)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1.373 (1.088, 1.732)*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1.017 (0.980, 1.055)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1.364 (1.076, 1.728)*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1.006 (0.982, 1.031)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1.351 (1.063, 1.719)*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1.001 (0.988, 1.013)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1.336 (1.046, 1.706)*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eastAsia="DengXian"/>
                <w:color w:val="000000" w:themeColor="text1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  <w:t>1.000 (1.000, 1.000)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1.319 (1.028, 1.692)*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1.005 (0.992, 1.018)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1.300 (1.009, 1.676)*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1.016 (0.989, 1.044)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1.281 (0.988, 1.660)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1.033 (0.990, 1.077)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1.261 (0.967, 1.644)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single" w:color="auto" w:sz="8" w:space="0"/>
            </w:tcBorders>
          </w:tcPr>
          <w:p>
            <w:pPr>
              <w:jc w:val="center"/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410" w:type="dxa"/>
            <w:tcBorders>
              <w:top w:val="nil"/>
              <w:bottom w:val="single" w:color="auto" w:sz="8" w:space="0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1.056 (0.996, 1.119)</w:t>
            </w:r>
          </w:p>
        </w:tc>
        <w:tc>
          <w:tcPr>
            <w:tcW w:w="1134" w:type="dxa"/>
            <w:tcBorders>
              <w:top w:val="nil"/>
              <w:bottom w:val="single" w:color="auto" w:sz="8" w:space="0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2410" w:type="dxa"/>
            <w:tcBorders>
              <w:top w:val="nil"/>
              <w:bottom w:val="single" w:color="auto" w:sz="8" w:space="0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1.241 (0.945,1.630)</w:t>
            </w:r>
          </w:p>
        </w:tc>
      </w:tr>
    </w:tbl>
    <w:p>
      <w:pPr>
        <w:ind w:firstLine="600" w:firstLineChars="300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DMT: daily mean temperature,  CVD: cardiovascular disease,  RR:realtive risk, </w:t>
      </w:r>
    </w:p>
    <w:p>
      <w:pPr>
        <w:ind w:firstLine="600" w:firstLineChars="300"/>
        <w:rPr>
          <w:sz w:val="20"/>
          <w:szCs w:val="20"/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CI:</w:t>
      </w:r>
      <w:r>
        <w:rPr>
          <w:sz w:val="20"/>
          <w:szCs w:val="20"/>
        </w:rPr>
        <w:t xml:space="preserve"> confidence interval,</w:t>
      </w:r>
      <w:r>
        <w:rPr>
          <w:rFonts w:hint="eastAsia"/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*</w:t>
      </w:r>
      <w:r>
        <w:rPr>
          <w:i/>
          <w:iCs/>
          <w:sz w:val="20"/>
          <w:szCs w:val="20"/>
        </w:rPr>
        <w:t>p</w:t>
      </w:r>
      <w:r>
        <w:rPr>
          <w:sz w:val="20"/>
          <w:szCs w:val="20"/>
        </w:rPr>
        <w:t xml:space="preserve"> &lt; 0.05</w:t>
      </w:r>
    </w:p>
    <w:p>
      <w:pPr>
        <w:jc w:val="left"/>
        <w:rPr>
          <w:sz w:val="20"/>
          <w:szCs w:val="20"/>
        </w:rPr>
      </w:pPr>
      <w:r>
        <w:rPr>
          <w:b/>
          <w:bCs/>
          <w:sz w:val="20"/>
          <w:szCs w:val="20"/>
        </w:rPr>
        <w:t>S.</w:t>
      </w:r>
      <w:r>
        <w:rPr>
          <w:rFonts w:hint="eastAsia"/>
          <w:b/>
          <w:bCs/>
          <w:sz w:val="20"/>
          <w:szCs w:val="20"/>
        </w:rPr>
        <w:t>T</w:t>
      </w:r>
      <w:r>
        <w:rPr>
          <w:b/>
          <w:bCs/>
          <w:sz w:val="20"/>
          <w:szCs w:val="20"/>
        </w:rPr>
        <w:t>able2</w:t>
      </w:r>
      <w:r>
        <w:rPr>
          <w:rFonts w:hint="eastAsia"/>
          <w:b/>
          <w:bCs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T</w:t>
      </w:r>
      <w:r>
        <w:rPr>
          <w:sz w:val="20"/>
          <w:szCs w:val="20"/>
        </w:rPr>
        <w:t xml:space="preserve">he overall lag-cumulative exposure-response relationship between DTR and the mortality of CVD </w:t>
      </w:r>
    </w:p>
    <w:tbl>
      <w:tblPr>
        <w:tblStyle w:val="7"/>
        <w:tblW w:w="7088" w:type="dxa"/>
        <w:tblInd w:w="567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410"/>
        <w:gridCol w:w="1134"/>
        <w:gridCol w:w="241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TR</w:t>
            </w:r>
            <w:r>
              <w:rPr>
                <w:rFonts w:hint="eastAsia"/>
                <w:sz w:val="20"/>
                <w:szCs w:val="20"/>
              </w:rPr>
              <w:t xml:space="preserve"> (℃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umulative RR</w:t>
            </w:r>
            <w:r>
              <w:rPr>
                <w:rFonts w:hint="eastAsia"/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95%CI)</w:t>
            </w:r>
          </w:p>
        </w:tc>
        <w:tc>
          <w:tcPr>
            <w:tcW w:w="1134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DTR</w:t>
            </w:r>
            <w:r>
              <w:rPr>
                <w:rFonts w:hint="eastAsia"/>
                <w:sz w:val="20"/>
                <w:szCs w:val="20"/>
              </w:rPr>
              <w:t xml:space="preserve"> (℃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umulative RR</w:t>
            </w: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95% CI)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10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1.500 (1.248,1.903)*</w:t>
            </w:r>
          </w:p>
        </w:tc>
        <w:tc>
          <w:tcPr>
            <w:tcW w:w="1134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10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1.090 (0.989,1.201)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1.372 (1.197,1.573)*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1.116 (1.007,1.236)*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1.260 (1.147,1.385)*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1.144 (1.023,1.279)*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1.167 (1.098,1.240)*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1.174 (1.032,1.335)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1.093 (1.049,1.193)*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1.206 (1.031,1.410)*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1.040 (1.006,1.074)*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1.239 (1.021,1.505)*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1.009 (0.987,1.031)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1.275 (1.003,1.621)*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color w:val="000000" w:themeColor="text1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  <w:t>1.000 (1.000,1.000)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1.312 (0.980,1.758)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1.008 (0.978,1.038)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1.351 (0.953,1.917)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1.024 (0.966,1.086)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1.392 (0.923,2.099)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1.044 (0.966,1.129)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1.435 (0.893,2.305)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eastAsia="DengXi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1.066 (0.974,1.167)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1.478 (0.862,2.536)</w:t>
            </w:r>
          </w:p>
        </w:tc>
      </w:tr>
    </w:tbl>
    <w:p>
      <w:pPr>
        <w:ind w:firstLine="600" w:firstLineChars="300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DTR: diurnal temperature range, CVD: cardiovascular disease,  RR:realtive risk, </w:t>
      </w:r>
    </w:p>
    <w:p>
      <w:pPr>
        <w:ind w:firstLine="600" w:firstLineChars="300"/>
        <w:rPr>
          <w:sz w:val="20"/>
          <w:szCs w:val="20"/>
        </w:rPr>
      </w:pPr>
      <w:bookmarkStart w:id="2" w:name="OLE_LINK1"/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CI:</w:t>
      </w:r>
      <w:r>
        <w:rPr>
          <w:sz w:val="20"/>
          <w:szCs w:val="20"/>
        </w:rPr>
        <w:t xml:space="preserve"> confidence interval</w:t>
      </w:r>
      <w:r>
        <w:rPr>
          <w:rFonts w:hint="eastAsia"/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*</w:t>
      </w:r>
      <w:r>
        <w:rPr>
          <w:i/>
          <w:iCs/>
          <w:sz w:val="20"/>
          <w:szCs w:val="20"/>
        </w:rPr>
        <w:t>p</w:t>
      </w:r>
      <w:r>
        <w:rPr>
          <w:sz w:val="20"/>
          <w:szCs w:val="20"/>
        </w:rPr>
        <w:t xml:space="preserve"> &lt; 0.05</w:t>
      </w:r>
    </w:p>
    <w:bookmarkEnd w:id="2"/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  <w:bookmarkStart w:id="3" w:name="OLE_LINK3"/>
      <w:r>
        <w:rPr>
          <w:b/>
          <w:bCs/>
          <w:sz w:val="20"/>
          <w:szCs w:val="20"/>
        </w:rPr>
        <w:t>S.</w:t>
      </w:r>
      <w:r>
        <w:rPr>
          <w:rFonts w:hint="eastAsia"/>
          <w:b/>
          <w:bCs/>
          <w:sz w:val="20"/>
          <w:szCs w:val="20"/>
        </w:rPr>
        <w:t>T</w:t>
      </w:r>
      <w:r>
        <w:rPr>
          <w:b/>
          <w:bCs/>
          <w:sz w:val="20"/>
          <w:szCs w:val="20"/>
        </w:rPr>
        <w:t xml:space="preserve">able3  </w:t>
      </w:r>
      <w:r>
        <w:rPr>
          <w:sz w:val="20"/>
          <w:szCs w:val="20"/>
        </w:rPr>
        <w:t>RRs and their 95% CIs of extreme and moderate effects of DMT and DTR</w:t>
      </w:r>
      <w:r>
        <w:rPr>
          <w:rFonts w:hint="eastAsia"/>
          <w:sz w:val="20"/>
          <w:szCs w:val="20"/>
        </w:rPr>
        <w:t xml:space="preserve"> </w:t>
      </w:r>
      <w:r>
        <w:rPr>
          <w:sz w:val="20"/>
          <w:szCs w:val="20"/>
        </w:rPr>
        <w:t>on daily CVD deaths for different single-day lags</w:t>
      </w:r>
    </w:p>
    <w:bookmarkEnd w:id="3"/>
    <w:tbl>
      <w:tblPr>
        <w:tblStyle w:val="7"/>
        <w:tblpPr w:leftFromText="180" w:rightFromText="180" w:vertAnchor="text" w:horzAnchor="margin" w:tblpY="574"/>
        <w:tblW w:w="9356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757"/>
        <w:gridCol w:w="1984"/>
        <w:gridCol w:w="2037"/>
        <w:gridCol w:w="1965"/>
        <w:gridCol w:w="1952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jc w:val="left"/>
              <w:rPr>
                <w:sz w:val="20"/>
                <w:szCs w:val="20"/>
              </w:rPr>
            </w:pPr>
            <w:bookmarkStart w:id="4" w:name="_Hlk100168784"/>
          </w:p>
        </w:tc>
        <w:tc>
          <w:tcPr>
            <w:tcW w:w="757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ag (days)</w:t>
            </w:r>
          </w:p>
        </w:tc>
        <w:tc>
          <w:tcPr>
            <w:tcW w:w="1984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Extreme cold/low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R (95%CI)</w:t>
            </w:r>
          </w:p>
        </w:tc>
        <w:tc>
          <w:tcPr>
            <w:tcW w:w="2037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cold/low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R (95%CI)</w:t>
            </w:r>
          </w:p>
        </w:tc>
        <w:tc>
          <w:tcPr>
            <w:tcW w:w="1965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heat/high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R (95%CI)</w:t>
            </w:r>
          </w:p>
        </w:tc>
        <w:tc>
          <w:tcPr>
            <w:tcW w:w="1952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Extreme heat/high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R (95%CI)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Merge w:val="restart"/>
            <w:tcBorders>
              <w:top w:val="single" w:color="auto" w:sz="8" w:space="0"/>
            </w:tcBorders>
          </w:tcPr>
          <w:p>
            <w:pPr>
              <w:jc w:val="left"/>
              <w:rPr>
                <w:sz w:val="20"/>
                <w:szCs w:val="20"/>
              </w:rPr>
            </w:pPr>
          </w:p>
          <w:p>
            <w:pPr>
              <w:jc w:val="left"/>
              <w:rPr>
                <w:sz w:val="20"/>
                <w:szCs w:val="20"/>
              </w:rPr>
            </w:pPr>
          </w:p>
          <w:p>
            <w:pPr>
              <w:jc w:val="left"/>
              <w:rPr>
                <w:sz w:val="20"/>
                <w:szCs w:val="20"/>
              </w:rPr>
            </w:pPr>
          </w:p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MT</w:t>
            </w:r>
          </w:p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color="auto" w:sz="8" w:space="0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color="auto" w:sz="8" w:space="0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1.016 (1.006, 1.025)*</w:t>
            </w:r>
          </w:p>
        </w:tc>
        <w:tc>
          <w:tcPr>
            <w:tcW w:w="2037" w:type="dxa"/>
            <w:tcBorders>
              <w:top w:val="single" w:color="auto" w:sz="8" w:space="0"/>
              <w:bottom w:val="nil"/>
            </w:tcBorders>
          </w:tcPr>
          <w:p>
            <w:pPr>
              <w:jc w:val="left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1.010 (1.003, 1.016)*</w:t>
            </w:r>
          </w:p>
        </w:tc>
        <w:tc>
          <w:tcPr>
            <w:tcW w:w="1965" w:type="dxa"/>
            <w:tcBorders>
              <w:top w:val="single" w:color="auto" w:sz="8" w:space="0"/>
              <w:bottom w:val="nil"/>
            </w:tcBorders>
          </w:tcPr>
          <w:p>
            <w:pPr>
              <w:jc w:val="left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1.029 (1.010, 1.048)*</w:t>
            </w:r>
          </w:p>
        </w:tc>
        <w:tc>
          <w:tcPr>
            <w:tcW w:w="1952" w:type="dxa"/>
            <w:tcBorders>
              <w:top w:val="single" w:color="auto" w:sz="8" w:space="0"/>
              <w:bottom w:val="nil"/>
            </w:tcBorders>
          </w:tcPr>
          <w:p>
            <w:pPr>
              <w:jc w:val="left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1.054 (1.033, 1.076)*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Merge w:val="continue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1.013 (1.005, 1.023)*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>
            <w:pPr>
              <w:jc w:val="left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1.008 (1.003, 1.013)*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jc w:val="left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1.025 (1.009, 1.040)*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jc w:val="left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1.042 (1.025, 1.059)*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Merge w:val="continue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1.010 (1.004, 1.017)*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>
            <w:pPr>
              <w:jc w:val="left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1.005 (1.002, 1.009)*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jc w:val="left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1.019 (1.007, 1.031)*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jc w:val="left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1.026 (1.013, 1.039)*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Merge w:val="continue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1.008 (1.002, 1.014)*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>
            <w:pPr>
              <w:jc w:val="left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1.004 (1.000,1.007)*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jc w:val="left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1.015 (1.004,1.026)*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jc w:val="left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1.015 (1.003, 1.026)*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Merge w:val="continue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1.005 (0.999, 1.011)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1.001 (0.998,1.005)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1.010 (0.998,1.022)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0.999 (0.986, 1.012)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Merge w:val="continue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1.002 (0.994, 1.009)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0.999 (0.994, 1.004)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1.005 (0.989, 1.020)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0.984 (0.967, 1.001)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Merge w:val="continue"/>
            <w:tcBorders>
              <w:bottom w:val="single" w:color="auto" w:sz="8" w:space="0"/>
            </w:tcBorders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single" w:color="auto" w:sz="8" w:space="0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bottom w:val="single" w:color="auto" w:sz="8" w:space="0"/>
            </w:tcBorders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0.999 (0.990, 1.009)</w:t>
            </w:r>
          </w:p>
        </w:tc>
        <w:tc>
          <w:tcPr>
            <w:tcW w:w="2037" w:type="dxa"/>
            <w:tcBorders>
              <w:top w:val="nil"/>
              <w:bottom w:val="single" w:color="auto" w:sz="8" w:space="0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0.997 (0.992, 1.003)</w:t>
            </w:r>
          </w:p>
        </w:tc>
        <w:tc>
          <w:tcPr>
            <w:tcW w:w="1965" w:type="dxa"/>
            <w:tcBorders>
              <w:top w:val="nil"/>
              <w:bottom w:val="single" w:color="auto" w:sz="8" w:space="0"/>
            </w:tcBorders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1.001 (0.982, 1.020)</w:t>
            </w:r>
          </w:p>
        </w:tc>
        <w:tc>
          <w:tcPr>
            <w:tcW w:w="1952" w:type="dxa"/>
            <w:tcBorders>
              <w:top w:val="nil"/>
              <w:bottom w:val="single" w:color="auto" w:sz="8" w:space="0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0.973 (0.953, 0.994)*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Merge w:val="restart"/>
            <w:tcBorders>
              <w:top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</w:p>
          <w:p>
            <w:pPr>
              <w:jc w:val="left"/>
              <w:rPr>
                <w:sz w:val="20"/>
                <w:szCs w:val="20"/>
              </w:rPr>
            </w:pPr>
          </w:p>
          <w:p>
            <w:pPr>
              <w:jc w:val="left"/>
              <w:rPr>
                <w:sz w:val="20"/>
                <w:szCs w:val="20"/>
              </w:rPr>
            </w:pPr>
          </w:p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TR</w:t>
            </w:r>
          </w:p>
        </w:tc>
        <w:tc>
          <w:tcPr>
            <w:tcW w:w="757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1.033 (1.022,1.044)*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1.023 (1.015, 1.031)*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1.019 (1.011, 1.027)*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1.031 (1.019, 1.043)*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Merge w:val="continue"/>
            <w:tcBorders>
              <w:top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1.027 (1.018,1.037)*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1.020 (1.013, 1.026)*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1.015 (1.009, 1.022)*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1.024 (1.015, 1.034)*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Merge w:val="continue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1.021 (1.013,1.028)*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1.015 (1.010, 1.020)*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1.010 (1.005, 1.015)*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1.016 (1.008, 1.024)*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Merge w:val="continue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1.015 (1.009,1.022)*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1.011 (1.007, 1.016)*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1.006 (1.001, 1.010)*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1.010 (1.002, 1.017)*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Merge w:val="continue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1.008 (1.002,1.015)*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1.006 (1.002, 1.011)*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 (0.995, 1.005)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1.001 (0.994, 1.009)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Merge w:val="continue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1.002 (0.993,1.010)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1.002 (0.996, 1.008)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0.995 (0.989, 1.001)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0.993 (0.984, 1.002)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Merge w:val="continue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single" w:color="auto" w:sz="12" w:space="0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984" w:type="dxa"/>
            <w:tcBorders>
              <w:top w:val="nil"/>
              <w:bottom w:val="single" w:color="auto" w:sz="12" w:space="0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0.997 (0.986,1.007)</w:t>
            </w:r>
          </w:p>
        </w:tc>
        <w:tc>
          <w:tcPr>
            <w:tcW w:w="2037" w:type="dxa"/>
            <w:tcBorders>
              <w:top w:val="nil"/>
              <w:bottom w:val="single" w:color="auto" w:sz="12" w:space="0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0.998 (0.991, 1.006)</w:t>
            </w:r>
          </w:p>
        </w:tc>
        <w:tc>
          <w:tcPr>
            <w:tcW w:w="1965" w:type="dxa"/>
            <w:tcBorders>
              <w:top w:val="nil"/>
              <w:bottom w:val="single" w:color="auto" w:sz="12" w:space="0"/>
            </w:tcBorders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0.991 (0.984, 0.999)*</w:t>
            </w:r>
          </w:p>
        </w:tc>
        <w:tc>
          <w:tcPr>
            <w:tcW w:w="1952" w:type="dxa"/>
            <w:tcBorders>
              <w:top w:val="nil"/>
              <w:bottom w:val="single" w:color="auto" w:sz="12" w:space="0"/>
            </w:tcBorders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0.987 (0.976, 0.998)*</w:t>
            </w:r>
          </w:p>
        </w:tc>
      </w:tr>
      <w:bookmarkEnd w:id="4"/>
    </w:tbl>
    <w:p>
      <w:pPr>
        <w:rPr>
          <w:b/>
          <w:bCs/>
          <w:sz w:val="20"/>
          <w:szCs w:val="20"/>
        </w:rPr>
      </w:pPr>
    </w:p>
    <w:p>
      <w:pPr>
        <w:ind w:firstLine="600" w:firstLineChars="300"/>
        <w:rPr>
          <w:rFonts w:hint="eastAsia" w:eastAsia="SimSu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DMT: daily mean temperature,</w:t>
      </w:r>
      <w:r>
        <w:rPr>
          <w:rFonts w:hint="eastAsia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DTR: diurnal temperature range, CVD: cardiovascular disease, RR:realtive risk</w:t>
      </w:r>
      <w:r>
        <w:rPr>
          <w:rFonts w:hint="eastAsia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,</w:t>
      </w:r>
    </w:p>
    <w:p>
      <w:pPr>
        <w:ind w:firstLine="600" w:firstLineChars="300"/>
        <w:rPr>
          <w:sz w:val="20"/>
          <w:szCs w:val="20"/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CI:</w:t>
      </w:r>
      <w:r>
        <w:rPr>
          <w:sz w:val="20"/>
          <w:szCs w:val="20"/>
        </w:rPr>
        <w:t xml:space="preserve"> confidence interval</w:t>
      </w:r>
      <w:r>
        <w:rPr>
          <w:rFonts w:hint="eastAsia"/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*</w:t>
      </w:r>
      <w:r>
        <w:rPr>
          <w:i/>
          <w:iCs/>
          <w:sz w:val="20"/>
          <w:szCs w:val="20"/>
        </w:rPr>
        <w:t>p</w:t>
      </w:r>
      <w:r>
        <w:rPr>
          <w:sz w:val="20"/>
          <w:szCs w:val="20"/>
        </w:rPr>
        <w:t xml:space="preserve"> &lt; 0.05</w:t>
      </w:r>
    </w:p>
    <w:p>
      <w:pPr>
        <w:ind w:firstLine="600" w:firstLineChars="300"/>
        <w:rPr>
          <w:rFonts w:hint="eastAsia" w:eastAsia="SimSun"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ngXian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0"/>
  <w:bordersDoNotSurroundFooter w:val="0"/>
  <w:documentProtection w:enforcement="0"/>
  <w:defaultTabStop w:val="42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jN2Q4YWRkNTI0NjE4NTYwOTI1MTFlYTM1ZTJmYzEifQ=="/>
  </w:docVars>
  <w:rsids>
    <w:rsidRoot w:val="006D7351"/>
    <w:rsid w:val="00040ACF"/>
    <w:rsid w:val="000463B2"/>
    <w:rsid w:val="00082F31"/>
    <w:rsid w:val="000F4860"/>
    <w:rsid w:val="001360A6"/>
    <w:rsid w:val="00141C26"/>
    <w:rsid w:val="001A5BF9"/>
    <w:rsid w:val="001A78E3"/>
    <w:rsid w:val="001F2392"/>
    <w:rsid w:val="00244BBC"/>
    <w:rsid w:val="00282E9E"/>
    <w:rsid w:val="002927AE"/>
    <w:rsid w:val="002B2DBA"/>
    <w:rsid w:val="003023D8"/>
    <w:rsid w:val="003B246C"/>
    <w:rsid w:val="00432469"/>
    <w:rsid w:val="004358DD"/>
    <w:rsid w:val="00447067"/>
    <w:rsid w:val="00497A2E"/>
    <w:rsid w:val="004D6F45"/>
    <w:rsid w:val="005234C2"/>
    <w:rsid w:val="005424BF"/>
    <w:rsid w:val="005A43EA"/>
    <w:rsid w:val="00606A87"/>
    <w:rsid w:val="00620015"/>
    <w:rsid w:val="006204D4"/>
    <w:rsid w:val="006655D1"/>
    <w:rsid w:val="006D7351"/>
    <w:rsid w:val="006D75C6"/>
    <w:rsid w:val="00720198"/>
    <w:rsid w:val="00726E5D"/>
    <w:rsid w:val="00731771"/>
    <w:rsid w:val="007602AA"/>
    <w:rsid w:val="007762B3"/>
    <w:rsid w:val="0078496F"/>
    <w:rsid w:val="00784C7F"/>
    <w:rsid w:val="007E2FEA"/>
    <w:rsid w:val="008131FC"/>
    <w:rsid w:val="008300E7"/>
    <w:rsid w:val="008A0EEA"/>
    <w:rsid w:val="008B2718"/>
    <w:rsid w:val="008F2BD8"/>
    <w:rsid w:val="00944336"/>
    <w:rsid w:val="00947A51"/>
    <w:rsid w:val="0096352A"/>
    <w:rsid w:val="009A7DCD"/>
    <w:rsid w:val="00A62EF8"/>
    <w:rsid w:val="00AD637F"/>
    <w:rsid w:val="00AF431F"/>
    <w:rsid w:val="00B11EEB"/>
    <w:rsid w:val="00B42674"/>
    <w:rsid w:val="00B559AC"/>
    <w:rsid w:val="00B87C28"/>
    <w:rsid w:val="00BC271F"/>
    <w:rsid w:val="00CA4984"/>
    <w:rsid w:val="00CB5B3F"/>
    <w:rsid w:val="00CC728D"/>
    <w:rsid w:val="00D05DA5"/>
    <w:rsid w:val="00D22808"/>
    <w:rsid w:val="00D64DDB"/>
    <w:rsid w:val="00D707C7"/>
    <w:rsid w:val="00D855A8"/>
    <w:rsid w:val="00E1160D"/>
    <w:rsid w:val="00E229D6"/>
    <w:rsid w:val="00E316C4"/>
    <w:rsid w:val="00EB4C44"/>
    <w:rsid w:val="00EC7656"/>
    <w:rsid w:val="00EE706F"/>
    <w:rsid w:val="00F05A21"/>
    <w:rsid w:val="00F3442C"/>
    <w:rsid w:val="00F346D2"/>
    <w:rsid w:val="00FE2526"/>
    <w:rsid w:val="10BE4DAF"/>
    <w:rsid w:val="13F94367"/>
    <w:rsid w:val="18BA148E"/>
    <w:rsid w:val="2C13266B"/>
    <w:rsid w:val="387370EC"/>
    <w:rsid w:val="3C8F1A03"/>
    <w:rsid w:val="3E1D6FEE"/>
    <w:rsid w:val="41CF4659"/>
    <w:rsid w:val="46755661"/>
    <w:rsid w:val="4E5921FA"/>
    <w:rsid w:val="55102235"/>
    <w:rsid w:val="56F94CF2"/>
    <w:rsid w:val="5D146326"/>
    <w:rsid w:val="729E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SimSun" w:cs="Times New Roman"/>
      <w:kern w:val="2"/>
      <w:sz w:val="28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35"/>
    <w:pPr>
      <w:widowControl/>
      <w:jc w:val="left"/>
    </w:pPr>
    <w:rPr>
      <w:rFonts w:ascii="DengXian Light" w:hAnsi="DengXian Light" w:eastAsia="SimHei"/>
      <w:kern w:val="0"/>
      <w:sz w:val="20"/>
      <w:szCs w:val="20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415A0-F829-40FF-A22A-99E04B1FAD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886</Words>
  <Characters>5053</Characters>
  <Lines>42</Lines>
  <Paragraphs>11</Paragraphs>
  <TotalTime>7</TotalTime>
  <ScaleCrop>false</ScaleCrop>
  <LinksUpToDate>false</LinksUpToDate>
  <CharactersWithSpaces>5928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2022-04-04T01:42:00Z</dcterms:created>
  <dc:creator>hui'min xie</dc:creator>
  <cp:lastModifiedBy>一生熱爱</cp:lastModifiedBy>
  <dcterms:modified xsi:type="dcterms:W3CDTF">2024-01-06T12:05:25Z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B7C3BB3EEFDE4657801BDC29FB694E0E_12</vt:lpwstr>
  </property>
</Properties>
</file>