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E9E70" w14:textId="77777777" w:rsidR="002972BF" w:rsidRDefault="002972BF" w:rsidP="002972BF">
      <w:pPr>
        <w:pStyle w:val="EndNoteBibliography"/>
        <w:spacing w:line="240" w:lineRule="auto"/>
        <w:jc w:val="both"/>
        <w:rPr>
          <w:rFonts w:ascii="Times New Roman" w:hAnsi="Times New Roman"/>
          <w:b/>
          <w:bCs/>
          <w:sz w:val="24"/>
          <w:szCs w:val="24"/>
        </w:rPr>
      </w:pPr>
      <w:r>
        <w:rPr>
          <w:rFonts w:ascii="Times New Roman" w:hAnsi="Times New Roman"/>
          <w:b/>
          <w:bCs/>
          <w:sz w:val="24"/>
          <w:szCs w:val="24"/>
        </w:rPr>
        <w:t>Supplementary Information</w:t>
      </w:r>
    </w:p>
    <w:p w14:paraId="6AE10142" w14:textId="77777777" w:rsidR="002972BF" w:rsidRDefault="002972BF" w:rsidP="002972BF">
      <w:pPr>
        <w:pStyle w:val="EndNoteBibliography"/>
        <w:jc w:val="center"/>
        <w:rPr>
          <w:rFonts w:ascii="Times New Roman" w:hAnsi="Times New Roman"/>
        </w:rPr>
      </w:pPr>
      <w:r>
        <w:rPr>
          <w:rFonts w:ascii="Times New Roman" w:hAnsi="Times New Roman"/>
          <w:noProof/>
        </w:rPr>
        <w:drawing>
          <wp:inline distT="0" distB="0" distL="0" distR="0" wp14:anchorId="62A56B54" wp14:editId="7F136528">
            <wp:extent cx="5039995" cy="4350385"/>
            <wp:effectExtent l="0" t="0" r="0" b="0"/>
            <wp:docPr id="52157500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75000" name="图片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039995" cy="4350385"/>
                    </a:xfrm>
                    <a:prstGeom prst="rect">
                      <a:avLst/>
                    </a:prstGeom>
                    <a:noFill/>
                  </pic:spPr>
                </pic:pic>
              </a:graphicData>
            </a:graphic>
          </wp:inline>
        </w:drawing>
      </w:r>
    </w:p>
    <w:p w14:paraId="54FA2142"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t>Supplementary Fig. 1 Analysis of Pelota relevant transcriptional pattern.</w:t>
      </w:r>
      <w:r>
        <w:rPr>
          <w:rFonts w:ascii="Times New Roman" w:hAnsi="Times New Roman" w:hint="eastAsia"/>
          <w:b/>
          <w:bCs/>
        </w:rPr>
        <w:t xml:space="preserve"> </w:t>
      </w:r>
      <w:r>
        <w:rPr>
          <w:rFonts w:ascii="Times New Roman" w:hAnsi="Times New Roman"/>
          <w:b/>
          <w:bCs/>
        </w:rPr>
        <w:t>a,</w:t>
      </w:r>
      <w:r>
        <w:rPr>
          <w:rFonts w:ascii="Times New Roman" w:hAnsi="Times New Roman"/>
        </w:rPr>
        <w:t xml:space="preserve"> qRT-PCR analysis of the </w:t>
      </w:r>
      <w:r>
        <w:rPr>
          <w:rFonts w:ascii="Times New Roman" w:hAnsi="Times New Roman"/>
          <w:i/>
          <w:iCs/>
        </w:rPr>
        <w:t>Pelota</w:t>
      </w:r>
      <w:r>
        <w:rPr>
          <w:rFonts w:ascii="Times New Roman" w:hAnsi="Times New Roman"/>
        </w:rPr>
        <w:t xml:space="preserve"> expression level in Arabidopsis plants under wounding, cold, and SA treatments. </w:t>
      </w:r>
      <w:r>
        <w:rPr>
          <w:rFonts w:ascii="Times New Roman" w:hAnsi="Times New Roman"/>
          <w:b/>
          <w:bCs/>
        </w:rPr>
        <w:t>b,</w:t>
      </w:r>
      <w:r>
        <w:rPr>
          <w:rFonts w:ascii="Times New Roman" w:hAnsi="Times New Roman"/>
        </w:rPr>
        <w:t xml:space="preserve"> Expression patterns of RNA silencing related genes in </w:t>
      </w:r>
      <w:r>
        <w:rPr>
          <w:rFonts w:ascii="Times New Roman" w:hAnsi="Times New Roman"/>
          <w:i/>
          <w:iCs/>
        </w:rPr>
        <w:t xml:space="preserve">pelota </w:t>
      </w:r>
      <w:r>
        <w:rPr>
          <w:rFonts w:ascii="Times New Roman" w:hAnsi="Times New Roman"/>
        </w:rPr>
        <w:t xml:space="preserve">compared to WT. </w:t>
      </w:r>
      <w:r>
        <w:rPr>
          <w:rFonts w:ascii="Times New Roman" w:hAnsi="Times New Roman"/>
          <w:b/>
          <w:bCs/>
        </w:rPr>
        <w:t>c,</w:t>
      </w:r>
      <w:r>
        <w:rPr>
          <w:rFonts w:ascii="Times New Roman" w:hAnsi="Times New Roman"/>
        </w:rPr>
        <w:t xml:space="preserve"> Expression patterns of ABA, JA, SA phytohormone-related genes in </w:t>
      </w:r>
      <w:r>
        <w:rPr>
          <w:rFonts w:ascii="Times New Roman" w:hAnsi="Times New Roman"/>
          <w:i/>
          <w:iCs/>
        </w:rPr>
        <w:t xml:space="preserve">pelota </w:t>
      </w:r>
      <w:r>
        <w:rPr>
          <w:rFonts w:ascii="Times New Roman" w:hAnsi="Times New Roman"/>
        </w:rPr>
        <w:t xml:space="preserve">compared to WT. </w:t>
      </w:r>
      <w:r>
        <w:rPr>
          <w:rFonts w:ascii="Times New Roman" w:hAnsi="Times New Roman"/>
          <w:b/>
          <w:bCs/>
        </w:rPr>
        <w:t>d,</w:t>
      </w:r>
      <w:r>
        <w:rPr>
          <w:rFonts w:ascii="Times New Roman" w:hAnsi="Times New Roman"/>
        </w:rPr>
        <w:t xml:space="preserve"> </w:t>
      </w:r>
      <w:r>
        <w:rPr>
          <w:rFonts w:ascii="Times New Roman" w:hAnsi="Times New Roman"/>
          <w:i/>
          <w:iCs/>
        </w:rPr>
        <w:t>In vivo</w:t>
      </w:r>
      <w:r>
        <w:rPr>
          <w:rFonts w:ascii="Times New Roman" w:hAnsi="Times New Roman"/>
        </w:rPr>
        <w:t xml:space="preserve"> SUMOylation of Pelota. Pelota: </w:t>
      </w:r>
      <w:r>
        <w:rPr>
          <w:rFonts w:ascii="Times New Roman" w:hAnsi="Times New Roman"/>
          <w:i/>
          <w:iCs/>
        </w:rPr>
        <w:t>pelota</w:t>
      </w:r>
      <w:r>
        <w:rPr>
          <w:rFonts w:ascii="Times New Roman" w:hAnsi="Times New Roman"/>
        </w:rPr>
        <w:t xml:space="preserve"> (35S: Pelota-YFP/</w:t>
      </w:r>
      <w:r>
        <w:rPr>
          <w:rFonts w:ascii="Times New Roman" w:hAnsi="Times New Roman"/>
          <w:i/>
          <w:iCs/>
        </w:rPr>
        <w:t>pelota</w:t>
      </w:r>
      <w:r>
        <w:rPr>
          <w:rFonts w:ascii="Times New Roman" w:hAnsi="Times New Roman"/>
        </w:rPr>
        <w:t xml:space="preserve"> #2) Arabidopsis plants were subjected to treatments in Supplementary Fig. 1a and TuMV infection at 14 dpi. SUMOylated Pelota was detected with anti-SUMO1 antibody.</w:t>
      </w:r>
    </w:p>
    <w:p w14:paraId="1ADACA8E" w14:textId="77777777" w:rsidR="002972BF" w:rsidRDefault="002972BF" w:rsidP="002972BF">
      <w:pPr>
        <w:pStyle w:val="EndNoteBibliography"/>
        <w:jc w:val="both"/>
        <w:rPr>
          <w:rFonts w:ascii="Times New Roman" w:hAnsi="Times New Roman"/>
        </w:rPr>
      </w:pPr>
    </w:p>
    <w:p w14:paraId="56995A70" w14:textId="77777777" w:rsidR="002972BF" w:rsidRDefault="002972BF" w:rsidP="002972BF">
      <w:pPr>
        <w:pStyle w:val="EndNoteBibliography"/>
        <w:jc w:val="center"/>
        <w:rPr>
          <w:rFonts w:ascii="Times New Roman" w:hAnsi="Times New Roman"/>
        </w:rPr>
      </w:pPr>
      <w:r>
        <w:rPr>
          <w:rFonts w:ascii="Times New Roman" w:hAnsi="Times New Roman"/>
          <w:noProof/>
        </w:rPr>
        <w:drawing>
          <wp:inline distT="0" distB="0" distL="0" distR="0" wp14:anchorId="261CA219" wp14:editId="33836895">
            <wp:extent cx="2708910" cy="2216150"/>
            <wp:effectExtent l="0" t="0" r="0" b="0"/>
            <wp:docPr id="7845841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584150" name="图片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729006" cy="2232148"/>
                    </a:xfrm>
                    <a:prstGeom prst="rect">
                      <a:avLst/>
                    </a:prstGeom>
                    <a:noFill/>
                  </pic:spPr>
                </pic:pic>
              </a:graphicData>
            </a:graphic>
          </wp:inline>
        </w:drawing>
      </w:r>
    </w:p>
    <w:p w14:paraId="542F6503" w14:textId="77777777" w:rsidR="002972BF" w:rsidRDefault="002972BF" w:rsidP="002972BF">
      <w:pPr>
        <w:pStyle w:val="EndNoteBibliography"/>
        <w:jc w:val="both"/>
        <w:rPr>
          <w:rFonts w:ascii="Times New Roman" w:hAnsi="Times New Roman"/>
        </w:rPr>
      </w:pPr>
    </w:p>
    <w:p w14:paraId="3942F444"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lastRenderedPageBreak/>
        <w:t>Supplementary Fig. 2 SCE1 interacts with several TuMV-encoded viral proteins in yeast cells.</w:t>
      </w:r>
      <w:r>
        <w:rPr>
          <w:rFonts w:ascii="Times New Roman" w:hAnsi="Times New Roman" w:hint="eastAsia"/>
          <w:b/>
          <w:bCs/>
        </w:rPr>
        <w:t xml:space="preserve"> </w:t>
      </w:r>
      <w:r>
        <w:rPr>
          <w:rFonts w:ascii="Times New Roman" w:hAnsi="Times New Roman"/>
        </w:rPr>
        <w:t>Y2H Gold yeast cells harboring the indicated plasmids were co-expressed, subjected to 10-fold serial dilutions and plated on synthetic dextrose (SD)/-Trp, -Leu, -His, -Ade plates at 30 °C and photographed after 3 days. Yeast cells co-expressing AD-SCE1 and BD w</w:t>
      </w:r>
      <w:r>
        <w:rPr>
          <w:rFonts w:ascii="Times New Roman" w:hAnsi="Times New Roman" w:hint="eastAsia"/>
        </w:rPr>
        <w:t>ere</w:t>
      </w:r>
      <w:r>
        <w:rPr>
          <w:rFonts w:ascii="Times New Roman" w:hAnsi="Times New Roman"/>
        </w:rPr>
        <w:t xml:space="preserve"> used as a negative control. </w:t>
      </w:r>
    </w:p>
    <w:p w14:paraId="58A195D1" w14:textId="77777777" w:rsidR="002972BF" w:rsidRDefault="002972BF" w:rsidP="002972BF">
      <w:pPr>
        <w:pStyle w:val="EndNoteBibliography"/>
        <w:jc w:val="both"/>
        <w:rPr>
          <w:rFonts w:ascii="Times New Roman" w:hAnsi="Times New Roman"/>
        </w:rPr>
      </w:pPr>
    </w:p>
    <w:p w14:paraId="49FD46D8" w14:textId="77777777" w:rsidR="002972BF" w:rsidRDefault="002972BF" w:rsidP="002972BF">
      <w:pPr>
        <w:pStyle w:val="EndNoteBibliography"/>
        <w:jc w:val="both"/>
        <w:rPr>
          <w:rFonts w:ascii="Times New Roman" w:hAnsi="Times New Roman"/>
        </w:rPr>
      </w:pPr>
    </w:p>
    <w:p w14:paraId="1493B718" w14:textId="77777777" w:rsidR="002972BF" w:rsidRDefault="002972BF" w:rsidP="002972BF">
      <w:pPr>
        <w:pStyle w:val="EndNoteBibliography"/>
        <w:jc w:val="center"/>
        <w:rPr>
          <w:rFonts w:ascii="Times New Roman" w:hAnsi="Times New Roman"/>
        </w:rPr>
      </w:pPr>
      <w:r>
        <w:rPr>
          <w:rFonts w:ascii="Times New Roman" w:hAnsi="Times New Roman"/>
          <w:noProof/>
        </w:rPr>
        <w:drawing>
          <wp:inline distT="0" distB="0" distL="0" distR="0" wp14:anchorId="534FEB41" wp14:editId="3C00EF42">
            <wp:extent cx="5039995" cy="1569720"/>
            <wp:effectExtent l="0" t="0" r="0" b="0"/>
            <wp:docPr id="100374656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46567" name="图片 9"/>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040000" cy="1569948"/>
                    </a:xfrm>
                    <a:prstGeom prst="rect">
                      <a:avLst/>
                    </a:prstGeom>
                    <a:noFill/>
                  </pic:spPr>
                </pic:pic>
              </a:graphicData>
            </a:graphic>
          </wp:inline>
        </w:drawing>
      </w:r>
    </w:p>
    <w:p w14:paraId="01E3D968"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t xml:space="preserve">Supplementary Fig. 3 Validation of P3 transgenic plants and protoplast transformation experiments. a, </w:t>
      </w:r>
      <w:r>
        <w:rPr>
          <w:rFonts w:ascii="Times New Roman" w:hAnsi="Times New Roman"/>
        </w:rPr>
        <w:t xml:space="preserve">WB analysis showing the expression of TuMV-P3 in TuMV-P3 transgenic Arabidopsis lines. </w:t>
      </w:r>
      <w:r>
        <w:rPr>
          <w:rFonts w:ascii="Times New Roman" w:hAnsi="Times New Roman"/>
          <w:b/>
          <w:bCs/>
        </w:rPr>
        <w:t>b,c,</w:t>
      </w:r>
      <w:r>
        <w:rPr>
          <w:rFonts w:ascii="Times New Roman" w:hAnsi="Times New Roman"/>
        </w:rPr>
        <w:t xml:space="preserve"> Protein expression in TuMV-P3 transgenic Arabidopsis protoplasts transforming GFP, GFP-Pelota or GFP-Pelota and GFP-NIb were confirmed by confocal microscopy and WB assays. Scale bars correspond to 200 μm. CBB-staining of RbcL was a loading control.</w:t>
      </w:r>
    </w:p>
    <w:p w14:paraId="1D181B6A" w14:textId="77777777" w:rsidR="002972BF" w:rsidRDefault="002972BF" w:rsidP="002972BF">
      <w:pPr>
        <w:pStyle w:val="EndNoteBibliography"/>
        <w:jc w:val="both"/>
        <w:rPr>
          <w:rFonts w:ascii="Times New Roman" w:hAnsi="Times New Roman"/>
        </w:rPr>
      </w:pPr>
    </w:p>
    <w:p w14:paraId="40E06091" w14:textId="77777777" w:rsidR="002972BF" w:rsidRDefault="002972BF" w:rsidP="002972BF">
      <w:pPr>
        <w:pStyle w:val="EndNoteBibliography"/>
        <w:jc w:val="both"/>
        <w:rPr>
          <w:rFonts w:ascii="Times New Roman" w:hAnsi="Times New Roman"/>
        </w:rPr>
      </w:pPr>
    </w:p>
    <w:p w14:paraId="7AE567D9" w14:textId="77777777" w:rsidR="002972BF" w:rsidRDefault="002972BF" w:rsidP="002972BF">
      <w:pPr>
        <w:pStyle w:val="EndNoteBibliography"/>
        <w:jc w:val="center"/>
        <w:rPr>
          <w:rFonts w:ascii="Times New Roman" w:hAnsi="Times New Roman"/>
        </w:rPr>
      </w:pPr>
      <w:r>
        <w:rPr>
          <w:rFonts w:ascii="Times New Roman" w:hAnsi="Times New Roman"/>
          <w:noProof/>
        </w:rPr>
        <w:drawing>
          <wp:inline distT="0" distB="0" distL="0" distR="0" wp14:anchorId="0AE79E3B" wp14:editId="72ADFC72">
            <wp:extent cx="5039995" cy="2254885"/>
            <wp:effectExtent l="0" t="0" r="0" b="0"/>
            <wp:docPr id="162792084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920844" name="图片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040000" cy="2254994"/>
                    </a:xfrm>
                    <a:prstGeom prst="rect">
                      <a:avLst/>
                    </a:prstGeom>
                    <a:noFill/>
                  </pic:spPr>
                </pic:pic>
              </a:graphicData>
            </a:graphic>
          </wp:inline>
        </w:drawing>
      </w:r>
    </w:p>
    <w:p w14:paraId="4DCDF37B"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t>Supplementary Fig. 4 TuMV disrupt the Pelota-SCE1 interaction, and NIb disrupts the Pelota-Hbs1 interaction.</w:t>
      </w:r>
      <w:r>
        <w:rPr>
          <w:rFonts w:ascii="Times New Roman" w:hAnsi="Times New Roman" w:hint="eastAsia"/>
          <w:b/>
          <w:bCs/>
        </w:rPr>
        <w:t xml:space="preserve"> </w:t>
      </w:r>
      <w:r>
        <w:rPr>
          <w:rFonts w:ascii="Times New Roman" w:hAnsi="Times New Roman"/>
          <w:b/>
          <w:bCs/>
        </w:rPr>
        <w:t xml:space="preserve">a, </w:t>
      </w:r>
      <w:r>
        <w:rPr>
          <w:rFonts w:ascii="Times New Roman" w:hAnsi="Times New Roman"/>
        </w:rPr>
        <w:t xml:space="preserve">Competitive Co-IP assays </w:t>
      </w:r>
      <w:r>
        <w:rPr>
          <w:rFonts w:ascii="Times New Roman" w:hAnsi="Times New Roman"/>
          <w:i/>
          <w:iCs/>
        </w:rPr>
        <w:t>in vivo</w:t>
      </w:r>
      <w:r>
        <w:rPr>
          <w:rFonts w:ascii="Times New Roman" w:hAnsi="Times New Roman"/>
        </w:rPr>
        <w:t xml:space="preserve"> of SCE1-YFP and Myc-Pelota co-expressed with increasing amounts of TuMV in </w:t>
      </w:r>
      <w:r>
        <w:rPr>
          <w:rFonts w:ascii="Times New Roman" w:hAnsi="Times New Roman"/>
          <w:i/>
          <w:iCs/>
        </w:rPr>
        <w:t>N. benthamiana</w:t>
      </w:r>
      <w:r>
        <w:rPr>
          <w:rFonts w:ascii="Times New Roman" w:hAnsi="Times New Roman"/>
        </w:rPr>
        <w:t xml:space="preserve"> leaves. Proteins were immunoprecipitated with anti-GFP beads. Immunoprecipitated and input proteins were then analyzed with anti-Myc and anti-GFP antibodies. CBB-staining of RbcL was a loading control. </w:t>
      </w:r>
      <w:r>
        <w:rPr>
          <w:rFonts w:ascii="Times New Roman" w:hAnsi="Times New Roman"/>
          <w:b/>
          <w:bCs/>
        </w:rPr>
        <w:t xml:space="preserve">b, </w:t>
      </w:r>
      <w:r>
        <w:rPr>
          <w:rFonts w:ascii="Times New Roman" w:hAnsi="Times New Roman"/>
        </w:rPr>
        <w:t xml:space="preserve">Competitive Co-IP assays </w:t>
      </w:r>
      <w:r>
        <w:rPr>
          <w:rFonts w:ascii="Times New Roman" w:hAnsi="Times New Roman"/>
          <w:i/>
          <w:iCs/>
        </w:rPr>
        <w:t>in vivo</w:t>
      </w:r>
      <w:r>
        <w:rPr>
          <w:rFonts w:ascii="Times New Roman" w:hAnsi="Times New Roman"/>
        </w:rPr>
        <w:t xml:space="preserve">. Pelota-YFP and Hbs1-Flag were co-expressed along with increasing amounts of NIb in </w:t>
      </w:r>
      <w:r>
        <w:rPr>
          <w:rFonts w:ascii="Times New Roman" w:hAnsi="Times New Roman"/>
          <w:i/>
          <w:iCs/>
        </w:rPr>
        <w:t>N. benthamiana</w:t>
      </w:r>
      <w:r>
        <w:rPr>
          <w:rFonts w:ascii="Times New Roman" w:hAnsi="Times New Roman"/>
        </w:rPr>
        <w:t xml:space="preserve"> leaves. Proteins were immunoprecipitated with anti-GFP beads. Immunoprecipitated and input proteins were then analyzed with anti-Flag, anti-Myc, or anti-GFP antibodies. Ponceau S (PS)-staining of RbcL was a loading control.</w:t>
      </w:r>
    </w:p>
    <w:p w14:paraId="71029511" w14:textId="77777777" w:rsidR="002972BF" w:rsidRDefault="002972BF" w:rsidP="002972BF">
      <w:pPr>
        <w:pStyle w:val="BodyText"/>
        <w:jc w:val="center"/>
      </w:pPr>
      <w:r>
        <w:rPr>
          <w:noProof/>
        </w:rPr>
        <w:lastRenderedPageBreak/>
        <w:drawing>
          <wp:inline distT="0" distB="0" distL="0" distR="0" wp14:anchorId="17BA9867" wp14:editId="6C756BFA">
            <wp:extent cx="5039995" cy="4129405"/>
            <wp:effectExtent l="0" t="0" r="0" b="0"/>
            <wp:docPr id="79156827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568279" name="图片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040000" cy="4129598"/>
                    </a:xfrm>
                    <a:prstGeom prst="rect">
                      <a:avLst/>
                    </a:prstGeom>
                    <a:noFill/>
                  </pic:spPr>
                </pic:pic>
              </a:graphicData>
            </a:graphic>
          </wp:inline>
        </w:drawing>
      </w:r>
    </w:p>
    <w:p w14:paraId="0B1D8FC9"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t>Supplementary Fig. 5 The expression of NIb can substitute for the impact of Pelota deficiency.</w:t>
      </w:r>
      <w:r>
        <w:rPr>
          <w:rFonts w:ascii="Times New Roman" w:hAnsi="Times New Roman" w:hint="eastAsia"/>
          <w:b/>
          <w:bCs/>
        </w:rPr>
        <w:t xml:space="preserve"> </w:t>
      </w:r>
      <w:r>
        <w:rPr>
          <w:rFonts w:ascii="Times New Roman" w:hAnsi="Times New Roman"/>
          <w:b/>
          <w:bCs/>
        </w:rPr>
        <w:t>a,</w:t>
      </w:r>
      <w:r>
        <w:rPr>
          <w:rFonts w:ascii="Times New Roman" w:hAnsi="Times New Roman"/>
        </w:rPr>
        <w:t xml:space="preserve"> The volcano plot shows the overall change of genes in NIb and </w:t>
      </w:r>
      <w:r>
        <w:rPr>
          <w:rFonts w:ascii="Times New Roman" w:hAnsi="Times New Roman"/>
          <w:i/>
          <w:iCs/>
        </w:rPr>
        <w:t>pelota</w:t>
      </w:r>
      <w:r>
        <w:rPr>
          <w:rFonts w:ascii="Times New Roman" w:hAnsi="Times New Roman"/>
        </w:rPr>
        <w:t xml:space="preserve"> compared with the WT control. Specifically, genes with absolute log</w:t>
      </w:r>
      <w:r>
        <w:rPr>
          <w:rFonts w:ascii="Times New Roman" w:hAnsi="Times New Roman"/>
          <w:vertAlign w:val="subscript"/>
        </w:rPr>
        <w:t>2</w:t>
      </w:r>
      <w:r>
        <w:rPr>
          <w:rFonts w:ascii="Times New Roman" w:hAnsi="Times New Roman"/>
        </w:rPr>
        <w:t xml:space="preserve"> (Fold change) &gt; 1 and adjusted p-value &lt; 0.05 are classified as usual differentially expressed genes. Moreover, genes surpass the criteria of absolute log</w:t>
      </w:r>
      <w:r>
        <w:rPr>
          <w:rFonts w:ascii="Times New Roman" w:hAnsi="Times New Roman"/>
          <w:vertAlign w:val="subscript"/>
        </w:rPr>
        <w:t>2</w:t>
      </w:r>
      <w:r>
        <w:rPr>
          <w:rFonts w:ascii="Times New Roman" w:hAnsi="Times New Roman"/>
        </w:rPr>
        <w:t xml:space="preserve"> (Fold change) &gt; 2 and adjusted p-value &lt; 0.001 are denoted as super differentially expressed genes. </w:t>
      </w:r>
      <w:r>
        <w:rPr>
          <w:rFonts w:ascii="Times New Roman" w:hAnsi="Times New Roman"/>
          <w:b/>
          <w:bCs/>
        </w:rPr>
        <w:t>b,</w:t>
      </w:r>
      <w:r>
        <w:rPr>
          <w:rFonts w:ascii="Times New Roman" w:hAnsi="Times New Roman"/>
        </w:rPr>
        <w:t xml:space="preserve"> The 3D PCA plot plot illustrates the general transcriptome characteristics of the samples. The percentages of the total variation explained by the 1st, 2nd, and 3rd principal components are indicated on the x-, y-, and z-axis, respectively. </w:t>
      </w:r>
      <w:r>
        <w:rPr>
          <w:rFonts w:ascii="Times New Roman" w:hAnsi="Times New Roman"/>
          <w:b/>
          <w:bCs/>
        </w:rPr>
        <w:t>c,</w:t>
      </w:r>
      <w:r>
        <w:rPr>
          <w:rFonts w:ascii="Times New Roman" w:hAnsi="Times New Roman"/>
        </w:rPr>
        <w:t xml:space="preserve"> The bubble plot illustrates the results of NIb transgenic and pelota samples KEGG pathway enrichment analysis. Each bubble represents a KEGG pathway, with bubble size proportional to the enrichment ratio compared to background genes. The color intensity of each bubble reflects the statistical significance of enrichment, typically represented by the -log</w:t>
      </w:r>
      <w:r>
        <w:rPr>
          <w:rFonts w:ascii="Times New Roman" w:hAnsi="Times New Roman"/>
          <w:vertAlign w:val="subscript"/>
        </w:rPr>
        <w:t>10</w:t>
      </w:r>
      <w:r>
        <w:rPr>
          <w:rFonts w:ascii="Times New Roman" w:hAnsi="Times New Roman"/>
        </w:rPr>
        <w:t xml:space="preserve"> transformed p-value. </w:t>
      </w:r>
      <w:r>
        <w:rPr>
          <w:rFonts w:ascii="Times New Roman" w:hAnsi="Times New Roman"/>
          <w:b/>
          <w:bCs/>
        </w:rPr>
        <w:t>d,</w:t>
      </w:r>
      <w:r>
        <w:rPr>
          <w:rFonts w:ascii="Times New Roman" w:hAnsi="Times New Roman"/>
        </w:rPr>
        <w:t xml:space="preserve"> Gene set enrichment analysis (GSEA) was performed on the NIb transgenic and </w:t>
      </w:r>
      <w:r>
        <w:rPr>
          <w:rFonts w:ascii="Times New Roman" w:hAnsi="Times New Roman"/>
          <w:i/>
          <w:iCs/>
        </w:rPr>
        <w:t xml:space="preserve">pelota </w:t>
      </w:r>
      <w:r>
        <w:rPr>
          <w:rFonts w:ascii="Times New Roman" w:hAnsi="Times New Roman"/>
        </w:rPr>
        <w:t>groups.</w:t>
      </w:r>
    </w:p>
    <w:p w14:paraId="0821C6FF" w14:textId="77777777" w:rsidR="002972BF" w:rsidRDefault="002972BF" w:rsidP="002972BF">
      <w:pPr>
        <w:pStyle w:val="EndNoteBibliography"/>
        <w:jc w:val="both"/>
        <w:rPr>
          <w:rFonts w:ascii="Times New Roman" w:hAnsi="Times New Roman"/>
        </w:rPr>
      </w:pPr>
    </w:p>
    <w:p w14:paraId="12DBE83A" w14:textId="77777777" w:rsidR="002972BF" w:rsidRDefault="002972BF" w:rsidP="002972BF">
      <w:pPr>
        <w:pStyle w:val="EndNoteBibliography"/>
        <w:jc w:val="both"/>
        <w:rPr>
          <w:rFonts w:ascii="Times New Roman" w:hAnsi="Times New Roman"/>
        </w:rPr>
      </w:pPr>
    </w:p>
    <w:p w14:paraId="1968A668" w14:textId="77777777" w:rsidR="002972BF" w:rsidRDefault="002972BF" w:rsidP="002972BF">
      <w:pPr>
        <w:pStyle w:val="EndNoteBibliography"/>
        <w:jc w:val="center"/>
        <w:rPr>
          <w:rFonts w:ascii="Times New Roman" w:hAnsi="Times New Roman"/>
        </w:rPr>
      </w:pPr>
      <w:r>
        <w:rPr>
          <w:rFonts w:ascii="Times New Roman" w:hAnsi="Times New Roman"/>
          <w:noProof/>
        </w:rPr>
        <w:lastRenderedPageBreak/>
        <w:drawing>
          <wp:inline distT="0" distB="0" distL="0" distR="0" wp14:anchorId="6FBC3760" wp14:editId="22A54AE6">
            <wp:extent cx="5040000" cy="3476381"/>
            <wp:effectExtent l="0" t="0" r="0" b="0"/>
            <wp:docPr id="1921538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0000" cy="3476381"/>
                    </a:xfrm>
                    <a:prstGeom prst="rect">
                      <a:avLst/>
                    </a:prstGeom>
                    <a:noFill/>
                  </pic:spPr>
                </pic:pic>
              </a:graphicData>
            </a:graphic>
          </wp:inline>
        </w:drawing>
      </w:r>
    </w:p>
    <w:p w14:paraId="5EC49322" w14:textId="77777777" w:rsidR="002972BF" w:rsidRDefault="002972BF" w:rsidP="002972BF">
      <w:pPr>
        <w:pStyle w:val="EndNoteBibliography"/>
        <w:spacing w:line="240" w:lineRule="auto"/>
        <w:jc w:val="both"/>
        <w:rPr>
          <w:rFonts w:ascii="Times New Roman" w:hAnsi="Times New Roman"/>
        </w:rPr>
      </w:pPr>
      <w:r w:rsidRPr="001C5CED">
        <w:rPr>
          <w:rFonts w:ascii="Times New Roman" w:hAnsi="Times New Roman"/>
          <w:b/>
          <w:bCs/>
        </w:rPr>
        <w:t>Supplementary Fig. 6 Subcellula</w:t>
      </w:r>
      <w:r>
        <w:rPr>
          <w:rFonts w:ascii="Times New Roman" w:hAnsi="Times New Roman"/>
          <w:b/>
          <w:bCs/>
        </w:rPr>
        <w:t>r localization, SUMOylation of the NIb</w:t>
      </w:r>
      <w:r>
        <w:rPr>
          <w:rFonts w:ascii="Times New Roman" w:hAnsi="Times New Roman"/>
          <w:b/>
          <w:bCs/>
          <w:vertAlign w:val="superscript"/>
        </w:rPr>
        <w:t>sim</w:t>
      </w:r>
      <w:r>
        <w:rPr>
          <w:rFonts w:ascii="Times New Roman" w:hAnsi="Times New Roman"/>
          <w:b/>
          <w:bCs/>
        </w:rPr>
        <w:t xml:space="preserve"> mutants and immunoblotting analysis confirming protein expression in Fig. 5. </w:t>
      </w:r>
      <w:r>
        <w:rPr>
          <w:rFonts w:ascii="Times New Roman" w:hAnsi="Times New Roman" w:hint="eastAsia"/>
          <w:b/>
          <w:bCs/>
        </w:rPr>
        <w:t xml:space="preserve"> </w:t>
      </w:r>
      <w:r>
        <w:rPr>
          <w:rFonts w:ascii="Times New Roman" w:hAnsi="Times New Roman"/>
          <w:b/>
          <w:bCs/>
          <w:color w:val="000000"/>
        </w:rPr>
        <w:t xml:space="preserve">a, </w:t>
      </w:r>
      <w:r>
        <w:rPr>
          <w:rFonts w:ascii="Times New Roman" w:hAnsi="Times New Roman"/>
        </w:rPr>
        <w:t xml:space="preserve">Subcellular localization of NIb and its sim mutants in </w:t>
      </w:r>
      <w:r>
        <w:rPr>
          <w:rFonts w:ascii="Times New Roman" w:hAnsi="Times New Roman"/>
          <w:i/>
          <w:iCs/>
        </w:rPr>
        <w:t>N. benthamiana</w:t>
      </w:r>
      <w:r>
        <w:rPr>
          <w:rFonts w:ascii="Times New Roman" w:hAnsi="Times New Roman"/>
        </w:rPr>
        <w:t xml:space="preserve"> leaves. Scale bars correspond to 20 μm.</w:t>
      </w:r>
      <w:r>
        <w:rPr>
          <w:rFonts w:ascii="Times New Roman" w:hAnsi="Times New Roman"/>
          <w:b/>
          <w:bCs/>
        </w:rPr>
        <w:t xml:space="preserve"> b, </w:t>
      </w:r>
      <w:r>
        <w:rPr>
          <w:rFonts w:ascii="Times New Roman" w:hAnsi="Times New Roman"/>
          <w:i/>
          <w:iCs/>
        </w:rPr>
        <w:t xml:space="preserve">In vivo </w:t>
      </w:r>
      <w:r>
        <w:rPr>
          <w:rFonts w:ascii="Times New Roman" w:hAnsi="Times New Roman"/>
        </w:rPr>
        <w:t>SUMOylation assay. NIb-YFP or NIb</w:t>
      </w:r>
      <w:r>
        <w:rPr>
          <w:rFonts w:ascii="Times New Roman" w:hAnsi="Times New Roman"/>
          <w:vertAlign w:val="superscript"/>
        </w:rPr>
        <w:t>sim</w:t>
      </w:r>
      <w:r>
        <w:rPr>
          <w:rFonts w:ascii="Times New Roman" w:hAnsi="Times New Roman"/>
        </w:rPr>
        <w:t xml:space="preserve">-YFP mutants were co-expressed with Myc-SUMO3 in </w:t>
      </w:r>
      <w:r>
        <w:rPr>
          <w:rFonts w:ascii="Times New Roman" w:hAnsi="Times New Roman"/>
          <w:i/>
          <w:iCs/>
        </w:rPr>
        <w:t>N. benthamiana</w:t>
      </w:r>
      <w:r>
        <w:rPr>
          <w:rFonts w:ascii="Times New Roman" w:hAnsi="Times New Roman"/>
        </w:rPr>
        <w:t xml:space="preserve"> leaves. The proteins were immunoprecipitated with anti-GFP beads and analyzed with anti-Myc and anti-GFP antibodies. </w:t>
      </w:r>
      <w:r>
        <w:rPr>
          <w:rFonts w:ascii="Times New Roman" w:hAnsi="Times New Roman"/>
          <w:b/>
          <w:bCs/>
          <w:color w:val="000000"/>
        </w:rPr>
        <w:t xml:space="preserve">c,d, </w:t>
      </w:r>
      <w:r>
        <w:rPr>
          <w:rFonts w:ascii="Times New Roman" w:hAnsi="Times New Roman"/>
        </w:rPr>
        <w:t>Immunoblotting detection of protein expression from the BiFC vectors in Fig. 5b. CBB-staining of RbcL was a loading control.</w:t>
      </w:r>
    </w:p>
    <w:p w14:paraId="364D77C3" w14:textId="77777777" w:rsidR="002972BF" w:rsidRDefault="002972BF" w:rsidP="002972BF">
      <w:pPr>
        <w:pStyle w:val="BodyText"/>
        <w:jc w:val="both"/>
      </w:pPr>
    </w:p>
    <w:p w14:paraId="54F849B5" w14:textId="77777777" w:rsidR="002972BF" w:rsidRDefault="002972BF" w:rsidP="002972BF">
      <w:pPr>
        <w:pStyle w:val="EndNoteBibliography"/>
        <w:jc w:val="center"/>
        <w:rPr>
          <w:rFonts w:ascii="Times New Roman" w:hAnsi="Times New Roman"/>
        </w:rPr>
      </w:pPr>
      <w:r>
        <w:rPr>
          <w:rFonts w:ascii="Times New Roman" w:hAnsi="Times New Roman"/>
          <w:noProof/>
        </w:rPr>
        <w:lastRenderedPageBreak/>
        <w:drawing>
          <wp:inline distT="0" distB="0" distL="0" distR="0" wp14:anchorId="3A37181F" wp14:editId="6EA52A6F">
            <wp:extent cx="5039995" cy="5057775"/>
            <wp:effectExtent l="0" t="0" r="0" b="0"/>
            <wp:docPr id="4661308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130821"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040000" cy="5057982"/>
                    </a:xfrm>
                    <a:prstGeom prst="rect">
                      <a:avLst/>
                    </a:prstGeom>
                    <a:noFill/>
                  </pic:spPr>
                </pic:pic>
              </a:graphicData>
            </a:graphic>
          </wp:inline>
        </w:drawing>
      </w:r>
    </w:p>
    <w:p w14:paraId="543084BC" w14:textId="77777777" w:rsidR="002972BF" w:rsidRDefault="002972BF" w:rsidP="002972BF">
      <w:pPr>
        <w:pStyle w:val="EndNoteBibliography"/>
        <w:spacing w:line="240" w:lineRule="auto"/>
        <w:jc w:val="both"/>
        <w:rPr>
          <w:rFonts w:ascii="Times New Roman" w:hAnsi="Times New Roman"/>
        </w:rPr>
      </w:pPr>
      <w:r>
        <w:rPr>
          <w:rFonts w:ascii="Times New Roman" w:hAnsi="Times New Roman"/>
          <w:b/>
          <w:bCs/>
        </w:rPr>
        <w:t>Supplementary Fig. 7 The conservation analysis SIM motif characteristics in the NIb sequences of the selected Potyvirids.</w:t>
      </w:r>
      <w:r>
        <w:rPr>
          <w:rFonts w:ascii="Times New Roman" w:hAnsi="Times New Roman" w:hint="eastAsia"/>
          <w:b/>
          <w:bCs/>
        </w:rPr>
        <w:t xml:space="preserve"> </w:t>
      </w:r>
      <w:r>
        <w:rPr>
          <w:rFonts w:ascii="Times New Roman" w:hAnsi="Times New Roman"/>
          <w:b/>
          <w:bCs/>
        </w:rPr>
        <w:t xml:space="preserve">a, </w:t>
      </w:r>
      <w:r>
        <w:rPr>
          <w:rFonts w:ascii="Times New Roman" w:hAnsi="Times New Roman"/>
        </w:rPr>
        <w:t xml:space="preserve">Alignment of the NIb sequences from 12 potyvirid genera. </w:t>
      </w:r>
      <w:r>
        <w:rPr>
          <w:rFonts w:ascii="Times New Roman" w:hAnsi="Times New Roman"/>
          <w:b/>
          <w:bCs/>
        </w:rPr>
        <w:t>b,</w:t>
      </w:r>
      <w:r>
        <w:rPr>
          <w:rFonts w:ascii="Times New Roman" w:hAnsi="Times New Roman"/>
        </w:rPr>
        <w:t xml:space="preserve"> Enrichment analysis of the SIM motifs in the NIb sequences of selected potyvirids.</w:t>
      </w:r>
    </w:p>
    <w:p w14:paraId="64611449" w14:textId="77777777" w:rsidR="002972BF" w:rsidRDefault="002972BF" w:rsidP="002972BF">
      <w:pPr>
        <w:jc w:val="both"/>
      </w:pPr>
      <w:r>
        <w:br w:type="page"/>
      </w:r>
      <w:r>
        <w:rPr>
          <w:b/>
          <w:bCs/>
        </w:rPr>
        <w:lastRenderedPageBreak/>
        <w:t>Supplemental Table 1: Primers used in this study</w:t>
      </w:r>
    </w:p>
    <w:tbl>
      <w:tblPr>
        <w:tblStyle w:val="TableGrid"/>
        <w:tblW w:w="9240" w:type="dxa"/>
        <w:tblLook w:val="04A0" w:firstRow="1" w:lastRow="0" w:firstColumn="1" w:lastColumn="0" w:noHBand="0" w:noVBand="1"/>
      </w:tblPr>
      <w:tblGrid>
        <w:gridCol w:w="1691"/>
        <w:gridCol w:w="7549"/>
      </w:tblGrid>
      <w:tr w:rsidR="002972BF" w14:paraId="5D5FCD33" w14:textId="77777777" w:rsidTr="008470E8">
        <w:trPr>
          <w:trHeight w:val="276"/>
        </w:trPr>
        <w:tc>
          <w:tcPr>
            <w:tcW w:w="1691" w:type="dxa"/>
            <w:noWrap/>
            <w:vAlign w:val="center"/>
          </w:tcPr>
          <w:p w14:paraId="7B541540" w14:textId="77777777" w:rsidR="002972BF" w:rsidRDefault="002972BF" w:rsidP="008470E8">
            <w:pPr>
              <w:jc w:val="both"/>
              <w:rPr>
                <w:sz w:val="20"/>
              </w:rPr>
            </w:pPr>
            <w:r>
              <w:rPr>
                <w:sz w:val="20"/>
              </w:rPr>
              <w:t>Names</w:t>
            </w:r>
          </w:p>
        </w:tc>
        <w:tc>
          <w:tcPr>
            <w:tcW w:w="7549" w:type="dxa"/>
            <w:noWrap/>
            <w:vAlign w:val="center"/>
          </w:tcPr>
          <w:p w14:paraId="63C02532" w14:textId="77777777" w:rsidR="002972BF" w:rsidRDefault="002972BF" w:rsidP="008470E8">
            <w:pPr>
              <w:jc w:val="both"/>
              <w:rPr>
                <w:sz w:val="20"/>
              </w:rPr>
            </w:pPr>
            <w:r>
              <w:rPr>
                <w:sz w:val="20"/>
              </w:rPr>
              <w:t>Primers Sequence (5'-3')</w:t>
            </w:r>
          </w:p>
        </w:tc>
      </w:tr>
      <w:tr w:rsidR="002972BF" w14:paraId="6E997BF9" w14:textId="77777777" w:rsidTr="008470E8">
        <w:trPr>
          <w:trHeight w:val="276"/>
        </w:trPr>
        <w:tc>
          <w:tcPr>
            <w:tcW w:w="1691" w:type="dxa"/>
            <w:vMerge w:val="restart"/>
            <w:noWrap/>
            <w:vAlign w:val="center"/>
          </w:tcPr>
          <w:p w14:paraId="3F4FF5CB" w14:textId="77777777" w:rsidR="002972BF" w:rsidRDefault="002972BF" w:rsidP="008470E8">
            <w:pPr>
              <w:jc w:val="both"/>
              <w:rPr>
                <w:sz w:val="20"/>
              </w:rPr>
            </w:pPr>
            <w:r>
              <w:rPr>
                <w:sz w:val="20"/>
              </w:rPr>
              <w:t>Pelota</w:t>
            </w:r>
          </w:p>
        </w:tc>
        <w:tc>
          <w:tcPr>
            <w:tcW w:w="7549" w:type="dxa"/>
            <w:noWrap/>
            <w:vAlign w:val="center"/>
          </w:tcPr>
          <w:p w14:paraId="79954588" w14:textId="77777777" w:rsidR="002972BF" w:rsidRDefault="002972BF" w:rsidP="008470E8">
            <w:pPr>
              <w:jc w:val="both"/>
              <w:rPr>
                <w:sz w:val="20"/>
              </w:rPr>
            </w:pPr>
            <w:r>
              <w:rPr>
                <w:sz w:val="20"/>
              </w:rPr>
              <w:t>GGGGACAAGTTTGTACAAAAAAGCAGGCTTCATGAAGATCGTTCGCAGGG</w:t>
            </w:r>
          </w:p>
        </w:tc>
      </w:tr>
      <w:tr w:rsidR="002972BF" w14:paraId="439061DD" w14:textId="77777777" w:rsidTr="008470E8">
        <w:trPr>
          <w:trHeight w:val="336"/>
        </w:trPr>
        <w:tc>
          <w:tcPr>
            <w:tcW w:w="1691" w:type="dxa"/>
            <w:vMerge/>
            <w:vAlign w:val="center"/>
          </w:tcPr>
          <w:p w14:paraId="1135EC2E" w14:textId="77777777" w:rsidR="002972BF" w:rsidRDefault="002972BF" w:rsidP="008470E8">
            <w:pPr>
              <w:jc w:val="both"/>
              <w:rPr>
                <w:sz w:val="20"/>
              </w:rPr>
            </w:pPr>
          </w:p>
        </w:tc>
        <w:tc>
          <w:tcPr>
            <w:tcW w:w="7549" w:type="dxa"/>
            <w:noWrap/>
            <w:vAlign w:val="center"/>
          </w:tcPr>
          <w:p w14:paraId="5CB269C4" w14:textId="77777777" w:rsidR="002972BF" w:rsidRDefault="002972BF" w:rsidP="008470E8">
            <w:pPr>
              <w:jc w:val="both"/>
              <w:rPr>
                <w:sz w:val="20"/>
              </w:rPr>
            </w:pPr>
            <w:r>
              <w:rPr>
                <w:sz w:val="20"/>
              </w:rPr>
              <w:t>GGGGACCACTTTGTACAAGAAAGCTGGGTCCATCTCAATGTCTTCGAG</w:t>
            </w:r>
          </w:p>
        </w:tc>
      </w:tr>
      <w:tr w:rsidR="002972BF" w14:paraId="20BCA429" w14:textId="77777777" w:rsidTr="008470E8">
        <w:trPr>
          <w:trHeight w:val="276"/>
        </w:trPr>
        <w:tc>
          <w:tcPr>
            <w:tcW w:w="1691" w:type="dxa"/>
            <w:vMerge w:val="restart"/>
            <w:noWrap/>
            <w:vAlign w:val="center"/>
          </w:tcPr>
          <w:p w14:paraId="15073713" w14:textId="77777777" w:rsidR="002972BF" w:rsidRDefault="002972BF" w:rsidP="008470E8">
            <w:pPr>
              <w:jc w:val="both"/>
              <w:rPr>
                <w:sz w:val="20"/>
              </w:rPr>
            </w:pPr>
            <w:r>
              <w:rPr>
                <w:sz w:val="20"/>
              </w:rPr>
              <w:t>Hbs1</w:t>
            </w:r>
          </w:p>
        </w:tc>
        <w:tc>
          <w:tcPr>
            <w:tcW w:w="7549" w:type="dxa"/>
            <w:noWrap/>
            <w:vAlign w:val="center"/>
          </w:tcPr>
          <w:p w14:paraId="50D89AEF" w14:textId="77777777" w:rsidR="002972BF" w:rsidRDefault="002972BF" w:rsidP="008470E8">
            <w:pPr>
              <w:jc w:val="both"/>
              <w:rPr>
                <w:sz w:val="20"/>
              </w:rPr>
            </w:pPr>
            <w:r>
              <w:rPr>
                <w:sz w:val="20"/>
              </w:rPr>
              <w:t>GGGGACAAGTTTGTACAAAAAAGCAGGCTTCATGCCTCGTAAAGGATTA</w:t>
            </w:r>
          </w:p>
        </w:tc>
      </w:tr>
      <w:tr w:rsidR="002972BF" w14:paraId="362E6F46" w14:textId="77777777" w:rsidTr="008470E8">
        <w:trPr>
          <w:trHeight w:val="276"/>
        </w:trPr>
        <w:tc>
          <w:tcPr>
            <w:tcW w:w="1691" w:type="dxa"/>
            <w:vMerge/>
            <w:vAlign w:val="center"/>
          </w:tcPr>
          <w:p w14:paraId="7FF26A7E" w14:textId="77777777" w:rsidR="002972BF" w:rsidRDefault="002972BF" w:rsidP="008470E8">
            <w:pPr>
              <w:jc w:val="both"/>
              <w:rPr>
                <w:sz w:val="20"/>
              </w:rPr>
            </w:pPr>
          </w:p>
        </w:tc>
        <w:tc>
          <w:tcPr>
            <w:tcW w:w="7549" w:type="dxa"/>
            <w:noWrap/>
            <w:vAlign w:val="center"/>
          </w:tcPr>
          <w:p w14:paraId="11EC6D6B" w14:textId="77777777" w:rsidR="002972BF" w:rsidRDefault="002972BF" w:rsidP="008470E8">
            <w:pPr>
              <w:jc w:val="both"/>
              <w:rPr>
                <w:sz w:val="20"/>
              </w:rPr>
            </w:pPr>
            <w:r>
              <w:rPr>
                <w:sz w:val="20"/>
              </w:rPr>
              <w:t>GGGGACCACTTTGTACAAGAAAGCTGGGTCTGAGTCTTGGATAATCC</w:t>
            </w:r>
          </w:p>
        </w:tc>
      </w:tr>
      <w:tr w:rsidR="002972BF" w14:paraId="1141D480" w14:textId="77777777" w:rsidTr="008470E8">
        <w:trPr>
          <w:trHeight w:val="276"/>
        </w:trPr>
        <w:tc>
          <w:tcPr>
            <w:tcW w:w="1691" w:type="dxa"/>
            <w:vMerge w:val="restart"/>
            <w:noWrap/>
            <w:vAlign w:val="center"/>
          </w:tcPr>
          <w:p w14:paraId="2E6F9C42" w14:textId="77777777" w:rsidR="002972BF" w:rsidRDefault="002972BF" w:rsidP="008470E8">
            <w:pPr>
              <w:jc w:val="both"/>
              <w:rPr>
                <w:sz w:val="20"/>
              </w:rPr>
            </w:pPr>
            <w:r>
              <w:rPr>
                <w:sz w:val="20"/>
              </w:rPr>
              <w:t>GST-Pelota</w:t>
            </w:r>
          </w:p>
        </w:tc>
        <w:tc>
          <w:tcPr>
            <w:tcW w:w="7549" w:type="dxa"/>
            <w:noWrap/>
            <w:vAlign w:val="center"/>
          </w:tcPr>
          <w:p w14:paraId="0ACA62ED" w14:textId="77777777" w:rsidR="002972BF" w:rsidRDefault="002972BF" w:rsidP="008470E8">
            <w:pPr>
              <w:jc w:val="both"/>
              <w:rPr>
                <w:sz w:val="20"/>
              </w:rPr>
            </w:pPr>
            <w:r>
              <w:rPr>
                <w:sz w:val="20"/>
              </w:rPr>
              <w:t>GGGGCCCCTGGGATCCATGAAGATCGTTCGCA</w:t>
            </w:r>
          </w:p>
        </w:tc>
      </w:tr>
      <w:tr w:rsidR="002972BF" w14:paraId="38FA6361" w14:textId="77777777" w:rsidTr="008470E8">
        <w:trPr>
          <w:trHeight w:val="276"/>
        </w:trPr>
        <w:tc>
          <w:tcPr>
            <w:tcW w:w="1691" w:type="dxa"/>
            <w:vMerge/>
            <w:vAlign w:val="center"/>
          </w:tcPr>
          <w:p w14:paraId="2581E108" w14:textId="77777777" w:rsidR="002972BF" w:rsidRDefault="002972BF" w:rsidP="008470E8">
            <w:pPr>
              <w:jc w:val="both"/>
              <w:rPr>
                <w:sz w:val="20"/>
              </w:rPr>
            </w:pPr>
          </w:p>
        </w:tc>
        <w:tc>
          <w:tcPr>
            <w:tcW w:w="7549" w:type="dxa"/>
            <w:noWrap/>
            <w:vAlign w:val="center"/>
          </w:tcPr>
          <w:p w14:paraId="02A2C208" w14:textId="77777777" w:rsidR="002972BF" w:rsidRDefault="002972BF" w:rsidP="008470E8">
            <w:pPr>
              <w:jc w:val="both"/>
              <w:rPr>
                <w:sz w:val="20"/>
              </w:rPr>
            </w:pPr>
            <w:r>
              <w:rPr>
                <w:sz w:val="20"/>
              </w:rPr>
              <w:t>GTCGACCCGGGAATTCCATCTCAATGTCTTC</w:t>
            </w:r>
          </w:p>
        </w:tc>
      </w:tr>
      <w:tr w:rsidR="002972BF" w14:paraId="1E82ADED" w14:textId="77777777" w:rsidTr="008470E8">
        <w:trPr>
          <w:trHeight w:val="276"/>
        </w:trPr>
        <w:tc>
          <w:tcPr>
            <w:tcW w:w="1691" w:type="dxa"/>
            <w:vMerge w:val="restart"/>
            <w:noWrap/>
            <w:vAlign w:val="center"/>
          </w:tcPr>
          <w:p w14:paraId="78C35C19" w14:textId="77777777" w:rsidR="002972BF" w:rsidRDefault="002972BF" w:rsidP="008470E8">
            <w:pPr>
              <w:jc w:val="both"/>
              <w:rPr>
                <w:sz w:val="20"/>
              </w:rPr>
            </w:pPr>
            <w:r>
              <w:rPr>
                <w:sz w:val="20"/>
              </w:rPr>
              <w:t>YFP-qPCR</w:t>
            </w:r>
          </w:p>
        </w:tc>
        <w:tc>
          <w:tcPr>
            <w:tcW w:w="7549" w:type="dxa"/>
            <w:noWrap/>
            <w:vAlign w:val="center"/>
          </w:tcPr>
          <w:p w14:paraId="79B13672" w14:textId="77777777" w:rsidR="002972BF" w:rsidRDefault="002972BF" w:rsidP="008470E8">
            <w:pPr>
              <w:jc w:val="both"/>
              <w:rPr>
                <w:sz w:val="20"/>
              </w:rPr>
            </w:pPr>
            <w:r>
              <w:rPr>
                <w:sz w:val="20"/>
              </w:rPr>
              <w:t>ATCATGGCCGACAAGCAGAA</w:t>
            </w:r>
          </w:p>
        </w:tc>
      </w:tr>
      <w:tr w:rsidR="002972BF" w14:paraId="71E6C82A" w14:textId="77777777" w:rsidTr="008470E8">
        <w:trPr>
          <w:trHeight w:val="276"/>
        </w:trPr>
        <w:tc>
          <w:tcPr>
            <w:tcW w:w="1691" w:type="dxa"/>
            <w:vMerge/>
            <w:vAlign w:val="center"/>
          </w:tcPr>
          <w:p w14:paraId="16570FFA" w14:textId="77777777" w:rsidR="002972BF" w:rsidRDefault="002972BF" w:rsidP="008470E8">
            <w:pPr>
              <w:jc w:val="both"/>
              <w:rPr>
                <w:sz w:val="20"/>
              </w:rPr>
            </w:pPr>
          </w:p>
        </w:tc>
        <w:tc>
          <w:tcPr>
            <w:tcW w:w="7549" w:type="dxa"/>
            <w:noWrap/>
            <w:vAlign w:val="center"/>
          </w:tcPr>
          <w:p w14:paraId="250CAA1C" w14:textId="77777777" w:rsidR="002972BF" w:rsidRDefault="002972BF" w:rsidP="008470E8">
            <w:pPr>
              <w:jc w:val="both"/>
              <w:rPr>
                <w:sz w:val="20"/>
              </w:rPr>
            </w:pPr>
            <w:r>
              <w:rPr>
                <w:sz w:val="20"/>
              </w:rPr>
              <w:t>TCTCGTTGGGGTCTTTGCTC</w:t>
            </w:r>
          </w:p>
        </w:tc>
      </w:tr>
      <w:tr w:rsidR="002972BF" w14:paraId="4FDA29D8" w14:textId="77777777" w:rsidTr="008470E8">
        <w:trPr>
          <w:trHeight w:val="276"/>
        </w:trPr>
        <w:tc>
          <w:tcPr>
            <w:tcW w:w="1691" w:type="dxa"/>
            <w:vMerge w:val="restart"/>
            <w:noWrap/>
            <w:vAlign w:val="center"/>
          </w:tcPr>
          <w:p w14:paraId="3D99E4D9" w14:textId="77777777" w:rsidR="002972BF" w:rsidRDefault="002972BF" w:rsidP="008470E8">
            <w:pPr>
              <w:jc w:val="both"/>
              <w:rPr>
                <w:sz w:val="20"/>
              </w:rPr>
            </w:pPr>
            <w:r>
              <w:rPr>
                <w:sz w:val="20"/>
              </w:rPr>
              <w:t>TuMV-CP-qPCR</w:t>
            </w:r>
          </w:p>
        </w:tc>
        <w:tc>
          <w:tcPr>
            <w:tcW w:w="7549" w:type="dxa"/>
            <w:noWrap/>
            <w:vAlign w:val="center"/>
          </w:tcPr>
          <w:p w14:paraId="53ED40C2" w14:textId="77777777" w:rsidR="002972BF" w:rsidRDefault="002972BF" w:rsidP="008470E8">
            <w:pPr>
              <w:jc w:val="both"/>
              <w:rPr>
                <w:sz w:val="20"/>
              </w:rPr>
            </w:pPr>
            <w:r>
              <w:rPr>
                <w:sz w:val="20"/>
              </w:rPr>
              <w:t>TGGCTGATTACGAACTGACG</w:t>
            </w:r>
          </w:p>
        </w:tc>
      </w:tr>
      <w:tr w:rsidR="002972BF" w14:paraId="3DFC0A7E" w14:textId="77777777" w:rsidTr="008470E8">
        <w:trPr>
          <w:trHeight w:val="276"/>
        </w:trPr>
        <w:tc>
          <w:tcPr>
            <w:tcW w:w="1691" w:type="dxa"/>
            <w:vMerge/>
            <w:vAlign w:val="center"/>
          </w:tcPr>
          <w:p w14:paraId="7F84155D" w14:textId="77777777" w:rsidR="002972BF" w:rsidRDefault="002972BF" w:rsidP="008470E8">
            <w:pPr>
              <w:jc w:val="both"/>
              <w:rPr>
                <w:sz w:val="20"/>
              </w:rPr>
            </w:pPr>
          </w:p>
        </w:tc>
        <w:tc>
          <w:tcPr>
            <w:tcW w:w="7549" w:type="dxa"/>
            <w:noWrap/>
            <w:vAlign w:val="center"/>
          </w:tcPr>
          <w:p w14:paraId="09347F15" w14:textId="77777777" w:rsidR="002972BF" w:rsidRDefault="002972BF" w:rsidP="008470E8">
            <w:pPr>
              <w:jc w:val="both"/>
              <w:rPr>
                <w:sz w:val="20"/>
              </w:rPr>
            </w:pPr>
            <w:r>
              <w:rPr>
                <w:sz w:val="20"/>
              </w:rPr>
              <w:t>CTGCCTAAATGTGGGTTTGG</w:t>
            </w:r>
          </w:p>
        </w:tc>
      </w:tr>
      <w:tr w:rsidR="002972BF" w14:paraId="708B670E" w14:textId="77777777" w:rsidTr="008470E8">
        <w:trPr>
          <w:trHeight w:val="276"/>
        </w:trPr>
        <w:tc>
          <w:tcPr>
            <w:tcW w:w="1691" w:type="dxa"/>
            <w:vMerge w:val="restart"/>
            <w:noWrap/>
            <w:vAlign w:val="center"/>
          </w:tcPr>
          <w:p w14:paraId="092B50A7" w14:textId="77777777" w:rsidR="002972BF" w:rsidRDefault="002972BF" w:rsidP="008470E8">
            <w:pPr>
              <w:jc w:val="both"/>
              <w:rPr>
                <w:sz w:val="20"/>
              </w:rPr>
            </w:pPr>
            <w:r>
              <w:rPr>
                <w:sz w:val="20"/>
              </w:rPr>
              <w:t>AtActin2-qPCR</w:t>
            </w:r>
          </w:p>
        </w:tc>
        <w:tc>
          <w:tcPr>
            <w:tcW w:w="7549" w:type="dxa"/>
            <w:noWrap/>
            <w:vAlign w:val="center"/>
          </w:tcPr>
          <w:p w14:paraId="5DC1D814" w14:textId="77777777" w:rsidR="002972BF" w:rsidRDefault="002972BF" w:rsidP="008470E8">
            <w:pPr>
              <w:jc w:val="both"/>
              <w:rPr>
                <w:sz w:val="20"/>
              </w:rPr>
            </w:pPr>
            <w:r>
              <w:rPr>
                <w:sz w:val="20"/>
              </w:rPr>
              <w:t>CACCACAACAGCAGAGCGGGA</w:t>
            </w:r>
          </w:p>
        </w:tc>
      </w:tr>
      <w:tr w:rsidR="002972BF" w14:paraId="43DE9469" w14:textId="77777777" w:rsidTr="008470E8">
        <w:trPr>
          <w:trHeight w:val="276"/>
        </w:trPr>
        <w:tc>
          <w:tcPr>
            <w:tcW w:w="1691" w:type="dxa"/>
            <w:vMerge/>
            <w:vAlign w:val="center"/>
          </w:tcPr>
          <w:p w14:paraId="2EFD8497" w14:textId="77777777" w:rsidR="002972BF" w:rsidRDefault="002972BF" w:rsidP="008470E8">
            <w:pPr>
              <w:jc w:val="both"/>
              <w:rPr>
                <w:sz w:val="20"/>
              </w:rPr>
            </w:pPr>
          </w:p>
        </w:tc>
        <w:tc>
          <w:tcPr>
            <w:tcW w:w="7549" w:type="dxa"/>
            <w:noWrap/>
            <w:vAlign w:val="center"/>
          </w:tcPr>
          <w:p w14:paraId="4ED45C1D" w14:textId="77777777" w:rsidR="002972BF" w:rsidRDefault="002972BF" w:rsidP="008470E8">
            <w:pPr>
              <w:jc w:val="both"/>
              <w:rPr>
                <w:sz w:val="20"/>
              </w:rPr>
            </w:pPr>
            <w:r>
              <w:rPr>
                <w:sz w:val="20"/>
              </w:rPr>
              <w:t>TCCCACAAACGAGGGCTGGA</w:t>
            </w:r>
          </w:p>
        </w:tc>
      </w:tr>
      <w:tr w:rsidR="002972BF" w14:paraId="67BBA881" w14:textId="77777777" w:rsidTr="008470E8">
        <w:trPr>
          <w:trHeight w:val="276"/>
        </w:trPr>
        <w:tc>
          <w:tcPr>
            <w:tcW w:w="1691" w:type="dxa"/>
            <w:vMerge w:val="restart"/>
            <w:noWrap/>
            <w:vAlign w:val="center"/>
          </w:tcPr>
          <w:p w14:paraId="4CF04BBF" w14:textId="77777777" w:rsidR="002972BF" w:rsidRDefault="002972BF" w:rsidP="008470E8">
            <w:pPr>
              <w:jc w:val="both"/>
              <w:rPr>
                <w:sz w:val="20"/>
              </w:rPr>
            </w:pPr>
            <w:r>
              <w:rPr>
                <w:sz w:val="20"/>
              </w:rPr>
              <w:t>NbActin-qPCR</w:t>
            </w:r>
          </w:p>
        </w:tc>
        <w:tc>
          <w:tcPr>
            <w:tcW w:w="7549" w:type="dxa"/>
            <w:noWrap/>
            <w:vAlign w:val="center"/>
          </w:tcPr>
          <w:p w14:paraId="3996C2CB" w14:textId="77777777" w:rsidR="002972BF" w:rsidRDefault="002972BF" w:rsidP="008470E8">
            <w:pPr>
              <w:jc w:val="both"/>
              <w:rPr>
                <w:sz w:val="20"/>
              </w:rPr>
            </w:pPr>
            <w:r>
              <w:rPr>
                <w:sz w:val="20"/>
              </w:rPr>
              <w:t>AAAGACCAGCTCATCCGTGGAGAA</w:t>
            </w:r>
          </w:p>
        </w:tc>
      </w:tr>
      <w:tr w:rsidR="002972BF" w14:paraId="0356AB15" w14:textId="77777777" w:rsidTr="008470E8">
        <w:trPr>
          <w:trHeight w:val="276"/>
        </w:trPr>
        <w:tc>
          <w:tcPr>
            <w:tcW w:w="1691" w:type="dxa"/>
            <w:vMerge/>
            <w:vAlign w:val="center"/>
          </w:tcPr>
          <w:p w14:paraId="253C5700" w14:textId="77777777" w:rsidR="002972BF" w:rsidRDefault="002972BF" w:rsidP="008470E8">
            <w:pPr>
              <w:jc w:val="both"/>
              <w:rPr>
                <w:sz w:val="20"/>
              </w:rPr>
            </w:pPr>
          </w:p>
        </w:tc>
        <w:tc>
          <w:tcPr>
            <w:tcW w:w="7549" w:type="dxa"/>
            <w:noWrap/>
            <w:vAlign w:val="center"/>
          </w:tcPr>
          <w:p w14:paraId="16E25153" w14:textId="77777777" w:rsidR="002972BF" w:rsidRDefault="002972BF" w:rsidP="008470E8">
            <w:pPr>
              <w:jc w:val="both"/>
              <w:rPr>
                <w:sz w:val="20"/>
              </w:rPr>
            </w:pPr>
            <w:r>
              <w:rPr>
                <w:sz w:val="20"/>
              </w:rPr>
              <w:t>TGTGGTTTCATGAATGCCAGCAGC</w:t>
            </w:r>
          </w:p>
        </w:tc>
      </w:tr>
      <w:tr w:rsidR="002972BF" w14:paraId="54C96E52" w14:textId="77777777" w:rsidTr="008470E8">
        <w:trPr>
          <w:trHeight w:val="276"/>
        </w:trPr>
        <w:tc>
          <w:tcPr>
            <w:tcW w:w="1691" w:type="dxa"/>
            <w:vMerge w:val="restart"/>
            <w:noWrap/>
            <w:vAlign w:val="center"/>
          </w:tcPr>
          <w:p w14:paraId="2EEDF482" w14:textId="77777777" w:rsidR="002972BF" w:rsidRDefault="002972BF" w:rsidP="008470E8">
            <w:pPr>
              <w:jc w:val="both"/>
              <w:rPr>
                <w:sz w:val="20"/>
              </w:rPr>
            </w:pPr>
            <w:r>
              <w:rPr>
                <w:sz w:val="20"/>
              </w:rPr>
              <w:t>His-NIb</w:t>
            </w:r>
          </w:p>
        </w:tc>
        <w:tc>
          <w:tcPr>
            <w:tcW w:w="7549" w:type="dxa"/>
            <w:noWrap/>
            <w:vAlign w:val="center"/>
          </w:tcPr>
          <w:p w14:paraId="79C9FBAF" w14:textId="77777777" w:rsidR="002972BF" w:rsidRDefault="002972BF" w:rsidP="008470E8">
            <w:pPr>
              <w:jc w:val="both"/>
              <w:rPr>
                <w:sz w:val="20"/>
              </w:rPr>
            </w:pPr>
            <w:r>
              <w:rPr>
                <w:sz w:val="20"/>
              </w:rPr>
              <w:t>CGAGGGATCCGAATTCATGACCCAGCAGAATCG</w:t>
            </w:r>
          </w:p>
        </w:tc>
      </w:tr>
      <w:tr w:rsidR="002972BF" w14:paraId="6A525861" w14:textId="77777777" w:rsidTr="008470E8">
        <w:trPr>
          <w:trHeight w:val="276"/>
        </w:trPr>
        <w:tc>
          <w:tcPr>
            <w:tcW w:w="1691" w:type="dxa"/>
            <w:vMerge/>
            <w:vAlign w:val="center"/>
          </w:tcPr>
          <w:p w14:paraId="4E9A2278" w14:textId="77777777" w:rsidR="002972BF" w:rsidRDefault="002972BF" w:rsidP="008470E8">
            <w:pPr>
              <w:jc w:val="both"/>
              <w:rPr>
                <w:sz w:val="20"/>
              </w:rPr>
            </w:pPr>
          </w:p>
        </w:tc>
        <w:tc>
          <w:tcPr>
            <w:tcW w:w="7549" w:type="dxa"/>
            <w:noWrap/>
            <w:vAlign w:val="center"/>
          </w:tcPr>
          <w:p w14:paraId="0A2937E7" w14:textId="77777777" w:rsidR="002972BF" w:rsidRDefault="002972BF" w:rsidP="008470E8">
            <w:pPr>
              <w:jc w:val="both"/>
              <w:rPr>
                <w:sz w:val="20"/>
              </w:rPr>
            </w:pPr>
            <w:r>
              <w:rPr>
                <w:sz w:val="20"/>
              </w:rPr>
              <w:t>CGACAAGCTTGAATTCCTGGTGATAAACACAA</w:t>
            </w:r>
          </w:p>
        </w:tc>
      </w:tr>
      <w:tr w:rsidR="002972BF" w14:paraId="7868C216" w14:textId="77777777" w:rsidTr="008470E8">
        <w:trPr>
          <w:trHeight w:val="276"/>
        </w:trPr>
        <w:tc>
          <w:tcPr>
            <w:tcW w:w="1691" w:type="dxa"/>
            <w:vMerge w:val="restart"/>
            <w:noWrap/>
            <w:vAlign w:val="center"/>
          </w:tcPr>
          <w:p w14:paraId="74157BAB" w14:textId="77777777" w:rsidR="002972BF" w:rsidRDefault="002972BF" w:rsidP="008470E8">
            <w:pPr>
              <w:jc w:val="both"/>
              <w:rPr>
                <w:sz w:val="20"/>
              </w:rPr>
            </w:pPr>
            <w:r>
              <w:rPr>
                <w:sz w:val="20"/>
              </w:rPr>
              <w:t>TuMV-NIb-sim1</w:t>
            </w:r>
          </w:p>
        </w:tc>
        <w:tc>
          <w:tcPr>
            <w:tcW w:w="7549" w:type="dxa"/>
            <w:noWrap/>
            <w:vAlign w:val="center"/>
          </w:tcPr>
          <w:p w14:paraId="773647AD" w14:textId="77777777" w:rsidR="002972BF" w:rsidRDefault="002972BF" w:rsidP="008470E8">
            <w:pPr>
              <w:jc w:val="both"/>
              <w:rPr>
                <w:sz w:val="20"/>
              </w:rPr>
            </w:pPr>
            <w:r>
              <w:rPr>
                <w:sz w:val="20"/>
              </w:rPr>
              <w:t>TTTGAAAAGACAGCTGAAATAGCCGTATCAGATCTGCG</w:t>
            </w:r>
          </w:p>
        </w:tc>
      </w:tr>
      <w:tr w:rsidR="002972BF" w14:paraId="76F540C8" w14:textId="77777777" w:rsidTr="008470E8">
        <w:trPr>
          <w:trHeight w:val="276"/>
        </w:trPr>
        <w:tc>
          <w:tcPr>
            <w:tcW w:w="1691" w:type="dxa"/>
            <w:vMerge/>
            <w:vAlign w:val="center"/>
          </w:tcPr>
          <w:p w14:paraId="65EACB23" w14:textId="77777777" w:rsidR="002972BF" w:rsidRDefault="002972BF" w:rsidP="008470E8">
            <w:pPr>
              <w:jc w:val="both"/>
              <w:rPr>
                <w:sz w:val="20"/>
              </w:rPr>
            </w:pPr>
          </w:p>
        </w:tc>
        <w:tc>
          <w:tcPr>
            <w:tcW w:w="7549" w:type="dxa"/>
            <w:noWrap/>
            <w:vAlign w:val="center"/>
          </w:tcPr>
          <w:p w14:paraId="7B7FF55F" w14:textId="77777777" w:rsidR="002972BF" w:rsidRDefault="002972BF" w:rsidP="008470E8">
            <w:pPr>
              <w:jc w:val="both"/>
              <w:rPr>
                <w:sz w:val="20"/>
              </w:rPr>
            </w:pPr>
            <w:r>
              <w:rPr>
                <w:sz w:val="20"/>
              </w:rPr>
              <w:t>CGCAGATCTGATACGGCTATTTCAGCTGTCTTTTCAAA</w:t>
            </w:r>
          </w:p>
        </w:tc>
      </w:tr>
      <w:tr w:rsidR="002972BF" w14:paraId="3A3F205C" w14:textId="77777777" w:rsidTr="008470E8">
        <w:trPr>
          <w:trHeight w:val="276"/>
        </w:trPr>
        <w:tc>
          <w:tcPr>
            <w:tcW w:w="1691" w:type="dxa"/>
            <w:vMerge w:val="restart"/>
            <w:noWrap/>
            <w:vAlign w:val="center"/>
          </w:tcPr>
          <w:p w14:paraId="39C341DA" w14:textId="77777777" w:rsidR="002972BF" w:rsidRDefault="002972BF" w:rsidP="008470E8">
            <w:pPr>
              <w:jc w:val="both"/>
              <w:rPr>
                <w:sz w:val="20"/>
              </w:rPr>
            </w:pPr>
            <w:r>
              <w:rPr>
                <w:sz w:val="20"/>
              </w:rPr>
              <w:t>TuMV-NIb-sim2</w:t>
            </w:r>
          </w:p>
        </w:tc>
        <w:tc>
          <w:tcPr>
            <w:tcW w:w="7549" w:type="dxa"/>
            <w:noWrap/>
            <w:vAlign w:val="center"/>
          </w:tcPr>
          <w:p w14:paraId="12C21227" w14:textId="77777777" w:rsidR="002972BF" w:rsidRDefault="002972BF" w:rsidP="008470E8">
            <w:pPr>
              <w:jc w:val="both"/>
              <w:rPr>
                <w:sz w:val="20"/>
              </w:rPr>
            </w:pPr>
            <w:r>
              <w:rPr>
                <w:sz w:val="20"/>
              </w:rPr>
              <w:t>GAGCCAGAGCGAATAGCATCGGCTCTAGAATGGGATCG</w:t>
            </w:r>
          </w:p>
        </w:tc>
      </w:tr>
      <w:tr w:rsidR="002972BF" w14:paraId="2CF15CD2" w14:textId="77777777" w:rsidTr="008470E8">
        <w:trPr>
          <w:trHeight w:val="276"/>
        </w:trPr>
        <w:tc>
          <w:tcPr>
            <w:tcW w:w="1691" w:type="dxa"/>
            <w:vMerge/>
            <w:vAlign w:val="center"/>
          </w:tcPr>
          <w:p w14:paraId="22C93A1F" w14:textId="77777777" w:rsidR="002972BF" w:rsidRDefault="002972BF" w:rsidP="008470E8">
            <w:pPr>
              <w:jc w:val="both"/>
              <w:rPr>
                <w:sz w:val="20"/>
              </w:rPr>
            </w:pPr>
          </w:p>
        </w:tc>
        <w:tc>
          <w:tcPr>
            <w:tcW w:w="7549" w:type="dxa"/>
            <w:noWrap/>
            <w:vAlign w:val="center"/>
          </w:tcPr>
          <w:p w14:paraId="1CC782CB" w14:textId="77777777" w:rsidR="002972BF" w:rsidRDefault="002972BF" w:rsidP="008470E8">
            <w:pPr>
              <w:jc w:val="both"/>
              <w:rPr>
                <w:sz w:val="20"/>
              </w:rPr>
            </w:pPr>
            <w:r>
              <w:rPr>
                <w:sz w:val="20"/>
              </w:rPr>
              <w:t>CGATCCCATTCTAGAGCCGATGCTATTCGCTCTGGCTC</w:t>
            </w:r>
          </w:p>
        </w:tc>
      </w:tr>
      <w:tr w:rsidR="002972BF" w14:paraId="18E28B73" w14:textId="77777777" w:rsidTr="008470E8">
        <w:trPr>
          <w:trHeight w:val="276"/>
        </w:trPr>
        <w:tc>
          <w:tcPr>
            <w:tcW w:w="1691" w:type="dxa"/>
            <w:vMerge w:val="restart"/>
            <w:noWrap/>
            <w:vAlign w:val="center"/>
          </w:tcPr>
          <w:p w14:paraId="4282AB2C" w14:textId="77777777" w:rsidR="002972BF" w:rsidRDefault="002972BF" w:rsidP="008470E8">
            <w:pPr>
              <w:jc w:val="both"/>
              <w:rPr>
                <w:sz w:val="20"/>
              </w:rPr>
            </w:pPr>
            <w:r>
              <w:rPr>
                <w:sz w:val="20"/>
              </w:rPr>
              <w:t>TuMV-NIb-sim3</w:t>
            </w:r>
          </w:p>
        </w:tc>
        <w:tc>
          <w:tcPr>
            <w:tcW w:w="7549" w:type="dxa"/>
            <w:noWrap/>
            <w:vAlign w:val="center"/>
          </w:tcPr>
          <w:p w14:paraId="29ED8A62" w14:textId="77777777" w:rsidR="002972BF" w:rsidRDefault="002972BF" w:rsidP="008470E8">
            <w:pPr>
              <w:jc w:val="both"/>
              <w:rPr>
                <w:sz w:val="20"/>
              </w:rPr>
            </w:pPr>
            <w:r>
              <w:rPr>
                <w:sz w:val="20"/>
              </w:rPr>
              <w:t>AACGGAGATGATTTACTGGCAAGCGCACACCCAGAG</w:t>
            </w:r>
          </w:p>
        </w:tc>
      </w:tr>
      <w:tr w:rsidR="002972BF" w14:paraId="0264163B" w14:textId="77777777" w:rsidTr="008470E8">
        <w:trPr>
          <w:trHeight w:val="276"/>
        </w:trPr>
        <w:tc>
          <w:tcPr>
            <w:tcW w:w="1691" w:type="dxa"/>
            <w:vMerge/>
            <w:vAlign w:val="center"/>
          </w:tcPr>
          <w:p w14:paraId="460C76F2" w14:textId="77777777" w:rsidR="002972BF" w:rsidRDefault="002972BF" w:rsidP="008470E8">
            <w:pPr>
              <w:jc w:val="both"/>
              <w:rPr>
                <w:sz w:val="20"/>
              </w:rPr>
            </w:pPr>
          </w:p>
        </w:tc>
        <w:tc>
          <w:tcPr>
            <w:tcW w:w="7549" w:type="dxa"/>
            <w:noWrap/>
            <w:vAlign w:val="center"/>
          </w:tcPr>
          <w:p w14:paraId="673BF648" w14:textId="77777777" w:rsidR="002972BF" w:rsidRDefault="002972BF" w:rsidP="008470E8">
            <w:pPr>
              <w:jc w:val="both"/>
              <w:rPr>
                <w:sz w:val="20"/>
              </w:rPr>
            </w:pPr>
            <w:r>
              <w:rPr>
                <w:sz w:val="20"/>
              </w:rPr>
              <w:t>CTCTGGGTGTGCGCTTGCCAGTAAATCATCTCCGTT</w:t>
            </w:r>
          </w:p>
        </w:tc>
      </w:tr>
      <w:tr w:rsidR="002972BF" w14:paraId="175A2B55" w14:textId="77777777" w:rsidTr="008470E8">
        <w:trPr>
          <w:trHeight w:val="276"/>
        </w:trPr>
        <w:tc>
          <w:tcPr>
            <w:tcW w:w="1691" w:type="dxa"/>
            <w:vMerge w:val="restart"/>
            <w:noWrap/>
            <w:vAlign w:val="center"/>
          </w:tcPr>
          <w:p w14:paraId="54B58264" w14:textId="77777777" w:rsidR="002972BF" w:rsidRDefault="002972BF" w:rsidP="008470E8">
            <w:pPr>
              <w:jc w:val="both"/>
              <w:rPr>
                <w:sz w:val="20"/>
              </w:rPr>
            </w:pPr>
            <w:r>
              <w:rPr>
                <w:sz w:val="20"/>
              </w:rPr>
              <w:t>AN-NIb-sim2</w:t>
            </w:r>
          </w:p>
        </w:tc>
        <w:tc>
          <w:tcPr>
            <w:tcW w:w="7549" w:type="dxa"/>
            <w:noWrap/>
            <w:vAlign w:val="center"/>
          </w:tcPr>
          <w:p w14:paraId="52580F92" w14:textId="77777777" w:rsidR="002972BF" w:rsidRDefault="002972BF" w:rsidP="008470E8">
            <w:pPr>
              <w:jc w:val="both"/>
              <w:rPr>
                <w:sz w:val="20"/>
              </w:rPr>
            </w:pPr>
            <w:r>
              <w:rPr>
                <w:sz w:val="20"/>
              </w:rPr>
              <w:t>AAGATGAGAGAGCAATTGCAGCCCTTCAATGGAAAAG</w:t>
            </w:r>
          </w:p>
        </w:tc>
      </w:tr>
      <w:tr w:rsidR="002972BF" w14:paraId="2B18422D" w14:textId="77777777" w:rsidTr="008470E8">
        <w:trPr>
          <w:trHeight w:val="276"/>
        </w:trPr>
        <w:tc>
          <w:tcPr>
            <w:tcW w:w="1691" w:type="dxa"/>
            <w:vMerge/>
            <w:vAlign w:val="center"/>
          </w:tcPr>
          <w:p w14:paraId="793D26CE" w14:textId="77777777" w:rsidR="002972BF" w:rsidRDefault="002972BF" w:rsidP="008470E8">
            <w:pPr>
              <w:jc w:val="both"/>
              <w:rPr>
                <w:sz w:val="20"/>
              </w:rPr>
            </w:pPr>
          </w:p>
        </w:tc>
        <w:tc>
          <w:tcPr>
            <w:tcW w:w="7549" w:type="dxa"/>
            <w:noWrap/>
            <w:vAlign w:val="center"/>
          </w:tcPr>
          <w:p w14:paraId="3A069F41" w14:textId="77777777" w:rsidR="002972BF" w:rsidRDefault="002972BF" w:rsidP="008470E8">
            <w:pPr>
              <w:jc w:val="both"/>
              <w:rPr>
                <w:sz w:val="20"/>
              </w:rPr>
            </w:pPr>
            <w:r>
              <w:rPr>
                <w:sz w:val="20"/>
              </w:rPr>
              <w:t>CTTTTCCATTGAAGGGCTGCAATTGCTCTCTCATCTT</w:t>
            </w:r>
          </w:p>
        </w:tc>
      </w:tr>
      <w:tr w:rsidR="002972BF" w14:paraId="05581E2C" w14:textId="77777777" w:rsidTr="008470E8">
        <w:trPr>
          <w:trHeight w:val="276"/>
        </w:trPr>
        <w:tc>
          <w:tcPr>
            <w:tcW w:w="1691" w:type="dxa"/>
            <w:vMerge w:val="restart"/>
            <w:noWrap/>
            <w:vAlign w:val="center"/>
          </w:tcPr>
          <w:p w14:paraId="5CAF8FB6" w14:textId="77777777" w:rsidR="002972BF" w:rsidRDefault="002972BF" w:rsidP="008470E8">
            <w:pPr>
              <w:jc w:val="both"/>
              <w:rPr>
                <w:sz w:val="20"/>
              </w:rPr>
            </w:pPr>
            <w:r>
              <w:rPr>
                <w:sz w:val="20"/>
              </w:rPr>
              <w:t>AN-NIb-sim3</w:t>
            </w:r>
          </w:p>
        </w:tc>
        <w:tc>
          <w:tcPr>
            <w:tcW w:w="7549" w:type="dxa"/>
            <w:noWrap/>
            <w:vAlign w:val="center"/>
          </w:tcPr>
          <w:p w14:paraId="56293160" w14:textId="77777777" w:rsidR="002972BF" w:rsidRDefault="002972BF" w:rsidP="008470E8">
            <w:pPr>
              <w:jc w:val="both"/>
              <w:rPr>
                <w:sz w:val="20"/>
              </w:rPr>
            </w:pPr>
            <w:r>
              <w:rPr>
                <w:sz w:val="20"/>
              </w:rPr>
              <w:t>TGGATAATACCGCCATAGCAATGGTGTCTTTTGTTTAT</w:t>
            </w:r>
          </w:p>
        </w:tc>
      </w:tr>
      <w:tr w:rsidR="002972BF" w14:paraId="52B2EB87" w14:textId="77777777" w:rsidTr="008470E8">
        <w:trPr>
          <w:trHeight w:val="276"/>
        </w:trPr>
        <w:tc>
          <w:tcPr>
            <w:tcW w:w="1691" w:type="dxa"/>
            <w:vMerge/>
            <w:vAlign w:val="center"/>
          </w:tcPr>
          <w:p w14:paraId="208A3FD9" w14:textId="77777777" w:rsidR="002972BF" w:rsidRDefault="002972BF" w:rsidP="008470E8">
            <w:pPr>
              <w:jc w:val="both"/>
              <w:rPr>
                <w:sz w:val="20"/>
              </w:rPr>
            </w:pPr>
          </w:p>
        </w:tc>
        <w:tc>
          <w:tcPr>
            <w:tcW w:w="7549" w:type="dxa"/>
            <w:noWrap/>
            <w:vAlign w:val="center"/>
          </w:tcPr>
          <w:p w14:paraId="72C034B5" w14:textId="77777777" w:rsidR="002972BF" w:rsidRDefault="002972BF" w:rsidP="008470E8">
            <w:pPr>
              <w:jc w:val="both"/>
              <w:rPr>
                <w:sz w:val="20"/>
              </w:rPr>
            </w:pPr>
            <w:r>
              <w:rPr>
                <w:sz w:val="20"/>
              </w:rPr>
              <w:t>ATAAACAAAAGACACCATTGCTATGGCGGTATTATCCA</w:t>
            </w:r>
          </w:p>
        </w:tc>
      </w:tr>
      <w:tr w:rsidR="002972BF" w14:paraId="48CAFF2D" w14:textId="77777777" w:rsidTr="008470E8">
        <w:trPr>
          <w:trHeight w:val="276"/>
        </w:trPr>
        <w:tc>
          <w:tcPr>
            <w:tcW w:w="1691" w:type="dxa"/>
            <w:vMerge w:val="restart"/>
            <w:noWrap/>
            <w:vAlign w:val="center"/>
          </w:tcPr>
          <w:p w14:paraId="350289E9" w14:textId="77777777" w:rsidR="002972BF" w:rsidRDefault="002972BF" w:rsidP="008470E8">
            <w:pPr>
              <w:jc w:val="both"/>
              <w:rPr>
                <w:sz w:val="20"/>
              </w:rPr>
            </w:pPr>
            <w:r>
              <w:rPr>
                <w:sz w:val="20"/>
              </w:rPr>
              <w:t>PV-NIb-sim2</w:t>
            </w:r>
          </w:p>
        </w:tc>
        <w:tc>
          <w:tcPr>
            <w:tcW w:w="7549" w:type="dxa"/>
            <w:noWrap/>
            <w:vAlign w:val="center"/>
          </w:tcPr>
          <w:p w14:paraId="3D7190C1" w14:textId="77777777" w:rsidR="002972BF" w:rsidRDefault="002972BF" w:rsidP="008470E8">
            <w:pPr>
              <w:jc w:val="both"/>
              <w:rPr>
                <w:sz w:val="20"/>
              </w:rPr>
            </w:pPr>
            <w:r>
              <w:rPr>
                <w:sz w:val="20"/>
              </w:rPr>
              <w:t>GAAGAGGAACGTGCTGTTTCAGCCTTAGAGTGGGACC</w:t>
            </w:r>
          </w:p>
        </w:tc>
      </w:tr>
      <w:tr w:rsidR="002972BF" w14:paraId="08C80BBA" w14:textId="77777777" w:rsidTr="008470E8">
        <w:trPr>
          <w:trHeight w:val="276"/>
        </w:trPr>
        <w:tc>
          <w:tcPr>
            <w:tcW w:w="1691" w:type="dxa"/>
            <w:vMerge/>
            <w:vAlign w:val="center"/>
          </w:tcPr>
          <w:p w14:paraId="2EAC2AA1" w14:textId="77777777" w:rsidR="002972BF" w:rsidRDefault="002972BF" w:rsidP="008470E8">
            <w:pPr>
              <w:jc w:val="both"/>
              <w:rPr>
                <w:sz w:val="20"/>
              </w:rPr>
            </w:pPr>
          </w:p>
        </w:tc>
        <w:tc>
          <w:tcPr>
            <w:tcW w:w="7549" w:type="dxa"/>
            <w:noWrap/>
            <w:vAlign w:val="center"/>
          </w:tcPr>
          <w:p w14:paraId="1DEC2EB1" w14:textId="77777777" w:rsidR="002972BF" w:rsidRDefault="002972BF" w:rsidP="008470E8">
            <w:pPr>
              <w:jc w:val="both"/>
              <w:rPr>
                <w:sz w:val="20"/>
              </w:rPr>
            </w:pPr>
            <w:r>
              <w:rPr>
                <w:sz w:val="20"/>
              </w:rPr>
              <w:t>GGTCCCACTCTAAGGCTGAAACAGCACGTTCCTCTTC</w:t>
            </w:r>
          </w:p>
        </w:tc>
      </w:tr>
      <w:tr w:rsidR="002972BF" w14:paraId="789E3E44" w14:textId="77777777" w:rsidTr="008470E8">
        <w:trPr>
          <w:trHeight w:val="276"/>
        </w:trPr>
        <w:tc>
          <w:tcPr>
            <w:tcW w:w="1691" w:type="dxa"/>
            <w:vMerge w:val="restart"/>
            <w:noWrap/>
            <w:vAlign w:val="center"/>
          </w:tcPr>
          <w:p w14:paraId="7D76A6B9" w14:textId="77777777" w:rsidR="002972BF" w:rsidRDefault="002972BF" w:rsidP="008470E8">
            <w:pPr>
              <w:jc w:val="both"/>
              <w:rPr>
                <w:sz w:val="20"/>
              </w:rPr>
            </w:pPr>
            <w:r>
              <w:rPr>
                <w:sz w:val="20"/>
              </w:rPr>
              <w:t>PV-NIb-sim3</w:t>
            </w:r>
          </w:p>
        </w:tc>
        <w:tc>
          <w:tcPr>
            <w:tcW w:w="7549" w:type="dxa"/>
            <w:noWrap/>
            <w:vAlign w:val="center"/>
          </w:tcPr>
          <w:p w14:paraId="4BE70456" w14:textId="77777777" w:rsidR="002972BF" w:rsidRDefault="002972BF" w:rsidP="008470E8">
            <w:pPr>
              <w:jc w:val="both"/>
              <w:rPr>
                <w:sz w:val="20"/>
              </w:rPr>
            </w:pPr>
            <w:r>
              <w:rPr>
                <w:sz w:val="20"/>
              </w:rPr>
              <w:t>ATGGAGATGACGCCATAGCGGCTGTCAGACATGAGGA</w:t>
            </w:r>
          </w:p>
        </w:tc>
      </w:tr>
      <w:tr w:rsidR="002972BF" w14:paraId="7C687C6F" w14:textId="77777777" w:rsidTr="008470E8">
        <w:trPr>
          <w:trHeight w:val="276"/>
        </w:trPr>
        <w:tc>
          <w:tcPr>
            <w:tcW w:w="1691" w:type="dxa"/>
            <w:vMerge/>
            <w:vAlign w:val="center"/>
          </w:tcPr>
          <w:p w14:paraId="69C7AD8A" w14:textId="77777777" w:rsidR="002972BF" w:rsidRDefault="002972BF" w:rsidP="008470E8">
            <w:pPr>
              <w:jc w:val="both"/>
              <w:rPr>
                <w:sz w:val="20"/>
              </w:rPr>
            </w:pPr>
          </w:p>
        </w:tc>
        <w:tc>
          <w:tcPr>
            <w:tcW w:w="7549" w:type="dxa"/>
            <w:noWrap/>
            <w:vAlign w:val="center"/>
          </w:tcPr>
          <w:p w14:paraId="2C596445" w14:textId="77777777" w:rsidR="002972BF" w:rsidRDefault="002972BF" w:rsidP="008470E8">
            <w:pPr>
              <w:jc w:val="both"/>
              <w:rPr>
                <w:sz w:val="20"/>
              </w:rPr>
            </w:pPr>
            <w:r>
              <w:rPr>
                <w:sz w:val="20"/>
              </w:rPr>
              <w:t>TCCTCATGTCTGACAGCCGCTATGGCGTCATCTCCAT</w:t>
            </w:r>
          </w:p>
        </w:tc>
      </w:tr>
      <w:tr w:rsidR="002972BF" w14:paraId="62988D16" w14:textId="77777777" w:rsidTr="008470E8">
        <w:trPr>
          <w:trHeight w:val="276"/>
        </w:trPr>
        <w:tc>
          <w:tcPr>
            <w:tcW w:w="1691" w:type="dxa"/>
            <w:vMerge w:val="restart"/>
            <w:noWrap/>
            <w:vAlign w:val="center"/>
          </w:tcPr>
          <w:p w14:paraId="4F7AB891" w14:textId="77777777" w:rsidR="002972BF" w:rsidRDefault="002972BF" w:rsidP="008470E8">
            <w:pPr>
              <w:jc w:val="both"/>
              <w:rPr>
                <w:sz w:val="20"/>
              </w:rPr>
            </w:pPr>
            <w:r>
              <w:rPr>
                <w:sz w:val="20"/>
              </w:rPr>
              <w:t>MBP-SCE1</w:t>
            </w:r>
          </w:p>
        </w:tc>
        <w:tc>
          <w:tcPr>
            <w:tcW w:w="7549" w:type="dxa"/>
            <w:noWrap/>
            <w:vAlign w:val="center"/>
          </w:tcPr>
          <w:p w14:paraId="32077176" w14:textId="77777777" w:rsidR="002972BF" w:rsidRDefault="002972BF" w:rsidP="008470E8">
            <w:pPr>
              <w:jc w:val="both"/>
              <w:rPr>
                <w:sz w:val="20"/>
              </w:rPr>
            </w:pPr>
            <w:r>
              <w:rPr>
                <w:sz w:val="20"/>
              </w:rPr>
              <w:t>GGAAGGATTTCAGAATTC</w:t>
            </w:r>
            <w:r>
              <w:rPr>
                <w:color w:val="000000"/>
                <w:sz w:val="20"/>
              </w:rPr>
              <w:t>ATGGCTAGTGGAATC</w:t>
            </w:r>
          </w:p>
        </w:tc>
      </w:tr>
      <w:tr w:rsidR="002972BF" w14:paraId="5D0488D1" w14:textId="77777777" w:rsidTr="008470E8">
        <w:trPr>
          <w:trHeight w:val="276"/>
        </w:trPr>
        <w:tc>
          <w:tcPr>
            <w:tcW w:w="1691" w:type="dxa"/>
            <w:vMerge/>
            <w:vAlign w:val="center"/>
          </w:tcPr>
          <w:p w14:paraId="1169814D" w14:textId="77777777" w:rsidR="002972BF" w:rsidRDefault="002972BF" w:rsidP="008470E8">
            <w:pPr>
              <w:jc w:val="both"/>
              <w:rPr>
                <w:sz w:val="20"/>
              </w:rPr>
            </w:pPr>
          </w:p>
        </w:tc>
        <w:tc>
          <w:tcPr>
            <w:tcW w:w="7549" w:type="dxa"/>
            <w:noWrap/>
            <w:vAlign w:val="center"/>
          </w:tcPr>
          <w:p w14:paraId="17922790" w14:textId="77777777" w:rsidR="002972BF" w:rsidRDefault="002972BF" w:rsidP="008470E8">
            <w:pPr>
              <w:jc w:val="both"/>
              <w:rPr>
                <w:sz w:val="20"/>
              </w:rPr>
            </w:pPr>
            <w:r>
              <w:rPr>
                <w:sz w:val="20"/>
              </w:rPr>
              <w:t>TCTAGAGGATCCGAATTC GACAAGAGCAGGATAC</w:t>
            </w:r>
          </w:p>
        </w:tc>
      </w:tr>
    </w:tbl>
    <w:p w14:paraId="12019B09" w14:textId="77777777" w:rsidR="002972BF" w:rsidRDefault="002972BF" w:rsidP="002972BF">
      <w:pPr>
        <w:pStyle w:val="EndNoteBibliography"/>
        <w:jc w:val="both"/>
        <w:rPr>
          <w:rFonts w:ascii="Times New Roman" w:hAnsi="Times New Roman"/>
        </w:rPr>
      </w:pPr>
    </w:p>
    <w:p w14:paraId="66A5864D" w14:textId="77777777" w:rsidR="00755780" w:rsidRDefault="00755780"/>
    <w:sectPr w:rsidR="00755780" w:rsidSect="00845AD9">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2BF"/>
    <w:rsid w:val="002972BF"/>
    <w:rsid w:val="00755780"/>
    <w:rsid w:val="00845AD9"/>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63529"/>
  <w15:chartTrackingRefBased/>
  <w15:docId w15:val="{5CED0B50-2165-4A5F-9A9D-42E9B1BC3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
    <w:autoRedefine/>
    <w:qFormat/>
    <w:rsid w:val="002972BF"/>
    <w:pPr>
      <w:widowControl w:val="0"/>
      <w:spacing w:after="0" w:line="360" w:lineRule="auto"/>
    </w:pPr>
    <w:rPr>
      <w:rFonts w:ascii="Times New Roman" w:eastAsiaTheme="minorEastAsia" w:hAnsi="Times New Roman" w:cs="Times New Roman"/>
      <w:sz w:val="21"/>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unhideWhenUsed/>
    <w:qFormat/>
    <w:rsid w:val="002972BF"/>
    <w:pPr>
      <w:spacing w:after="120"/>
    </w:pPr>
  </w:style>
  <w:style w:type="character" w:customStyle="1" w:styleId="BodyTextChar">
    <w:name w:val="Body Text Char"/>
    <w:basedOn w:val="DefaultParagraphFont"/>
    <w:link w:val="BodyText"/>
    <w:uiPriority w:val="99"/>
    <w:rsid w:val="002972BF"/>
    <w:rPr>
      <w:rFonts w:ascii="Times New Roman" w:eastAsiaTheme="minorEastAsia" w:hAnsi="Times New Roman" w:cs="Times New Roman"/>
      <w:sz w:val="21"/>
      <w:lang w:eastAsia="zh-CN"/>
      <w14:ligatures w14:val="none"/>
    </w:rPr>
  </w:style>
  <w:style w:type="table" w:styleId="TableGrid">
    <w:name w:val="Table Grid"/>
    <w:basedOn w:val="TableNormal"/>
    <w:autoRedefine/>
    <w:uiPriority w:val="39"/>
    <w:qFormat/>
    <w:rsid w:val="002972BF"/>
    <w:pPr>
      <w:spacing w:after="0" w:line="240" w:lineRule="auto"/>
    </w:pPr>
    <w:rPr>
      <w:rFonts w:ascii="Times New Roman" w:eastAsia="SimSun" w:hAnsi="Times New Roman"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0"/>
    <w:autoRedefine/>
    <w:qFormat/>
    <w:rsid w:val="002972BF"/>
    <w:rPr>
      <w:rFonts w:ascii="DengXian" w:eastAsia="DengXian" w:hAnsi="DengXian"/>
      <w:sz w:val="20"/>
    </w:rPr>
  </w:style>
  <w:style w:type="character" w:customStyle="1" w:styleId="EndNoteBibliography0">
    <w:name w:val="EndNote Bibliography 字符"/>
    <w:basedOn w:val="DefaultParagraphFont"/>
    <w:link w:val="EndNoteBibliography"/>
    <w:autoRedefine/>
    <w:qFormat/>
    <w:rsid w:val="002972BF"/>
    <w:rPr>
      <w:rFonts w:ascii="DengXian" w:eastAsia="DengXian" w:hAnsi="DengXian" w:cs="Times New Roman"/>
      <w:sz w:val="20"/>
      <w:lang w:eastAsia="zh-CN"/>
      <w14:ligatures w14:val="none"/>
    </w:rPr>
  </w:style>
  <w:style w:type="character" w:styleId="LineNumber">
    <w:name w:val="line number"/>
    <w:basedOn w:val="DefaultParagraphFont"/>
    <w:uiPriority w:val="99"/>
    <w:semiHidden/>
    <w:unhideWhenUsed/>
    <w:rsid w:val="002972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865</Words>
  <Characters>4933</Characters>
  <Application>Microsoft Office Word</Application>
  <DocSecurity>0</DocSecurity>
  <Lines>41</Lines>
  <Paragraphs>11</Paragraphs>
  <ScaleCrop>false</ScaleCrop>
  <Company>Springer Nature</Company>
  <LinksUpToDate>false</LinksUpToDate>
  <CharactersWithSpaces>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2024-05-07T05:08:00Z</dcterms:created>
  <dcterms:modified xsi:type="dcterms:W3CDTF">2024-05-07T05:08:00Z</dcterms:modified>
</cp:coreProperties>
</file>